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581A9" w14:textId="77777777" w:rsidR="004F5FB7" w:rsidRDefault="00467A23">
      <w:pPr>
        <w:spacing w:after="0" w:line="360" w:lineRule="auto"/>
        <w:jc w:val="center"/>
        <w:rPr>
          <w:rFonts w:asciiTheme="majorBidi" w:hAnsiTheme="majorBidi" w:cstheme="majorBidi"/>
          <w:b/>
          <w:sz w:val="24"/>
          <w:szCs w:val="24"/>
          <w:lang w:val="en-US"/>
        </w:rPr>
      </w:pPr>
      <w:r>
        <w:rPr>
          <w:rFonts w:ascii="Times New Roman" w:hAnsi="Times New Roman" w:cs="Times New Roman"/>
          <w:b/>
          <w:bCs/>
          <w:sz w:val="24"/>
          <w:szCs w:val="24"/>
          <w:lang w:val="en-US"/>
        </w:rPr>
        <w:t xml:space="preserve">TINJAUAN HUKUM ISLAM TERHADAP PUTUSAN HAKIM PENGADILAN NEGERI RANAI MENGENAI PERKARA NOMOR </w:t>
      </w:r>
      <w:r>
        <w:rPr>
          <w:rFonts w:ascii="Times New Roman" w:hAnsi="Times New Roman" w:cs="Times New Roman"/>
          <w:b/>
          <w:sz w:val="24"/>
          <w:szCs w:val="24"/>
        </w:rPr>
        <w:t>:34/</w:t>
      </w:r>
      <w:r>
        <w:rPr>
          <w:rFonts w:ascii="Times New Roman" w:hAnsi="Times New Roman" w:cs="Times New Roman"/>
          <w:b/>
          <w:sz w:val="24"/>
          <w:szCs w:val="24"/>
          <w:lang w:val="en-US"/>
        </w:rPr>
        <w:t>Pid</w:t>
      </w:r>
      <w:r>
        <w:rPr>
          <w:rFonts w:ascii="Times New Roman" w:hAnsi="Times New Roman" w:cs="Times New Roman"/>
          <w:b/>
          <w:sz w:val="24"/>
          <w:szCs w:val="24"/>
        </w:rPr>
        <w:t>.Sus/</w:t>
      </w:r>
      <w:r>
        <w:rPr>
          <w:rFonts w:ascii="Times New Roman" w:hAnsi="Times New Roman" w:cs="Times New Roman"/>
          <w:b/>
          <w:sz w:val="24"/>
          <w:szCs w:val="24"/>
          <w:lang w:val="en-US"/>
        </w:rPr>
        <w:t>2023/</w:t>
      </w:r>
      <w:r>
        <w:rPr>
          <w:rFonts w:ascii="Times New Roman" w:hAnsi="Times New Roman" w:cs="Times New Roman"/>
          <w:b/>
          <w:sz w:val="24"/>
          <w:szCs w:val="24"/>
        </w:rPr>
        <w:t>PN.</w:t>
      </w:r>
      <w:r>
        <w:rPr>
          <w:rFonts w:ascii="Times New Roman" w:hAnsi="Times New Roman" w:cs="Times New Roman"/>
          <w:b/>
          <w:sz w:val="24"/>
          <w:szCs w:val="24"/>
          <w:lang w:val="en-US"/>
        </w:rPr>
        <w:t>Ntn</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TINDAK PIDANA </w:t>
      </w:r>
      <w:r>
        <w:rPr>
          <w:rFonts w:ascii="Times New Roman" w:hAnsi="Times New Roman" w:cs="Times New Roman"/>
          <w:b/>
          <w:sz w:val="24"/>
          <w:szCs w:val="24"/>
        </w:rPr>
        <w:t>NARKOTIKA GOLONGAN 1 BUKAN TANAMAN</w:t>
      </w:r>
    </w:p>
    <w:p w14:paraId="7CFC2AF9" w14:textId="77777777" w:rsidR="004F5FB7" w:rsidRDefault="004F5FB7">
      <w:pPr>
        <w:spacing w:after="0" w:line="360" w:lineRule="auto"/>
        <w:jc w:val="center"/>
        <w:rPr>
          <w:rFonts w:asciiTheme="majorBidi" w:hAnsiTheme="majorBidi" w:cstheme="majorBidi"/>
          <w:b/>
          <w:sz w:val="24"/>
          <w:szCs w:val="24"/>
          <w:lang w:val="en-US"/>
        </w:rPr>
      </w:pPr>
    </w:p>
    <w:p w14:paraId="710998F3" w14:textId="77777777" w:rsidR="00051FC5" w:rsidRPr="00E57A61" w:rsidRDefault="00051FC5" w:rsidP="00051FC5">
      <w:pPr>
        <w:spacing w:after="0" w:line="360" w:lineRule="auto"/>
        <w:jc w:val="center"/>
        <w:rPr>
          <w:rFonts w:asciiTheme="majorBidi" w:hAnsiTheme="majorBidi" w:cstheme="majorBidi"/>
          <w:sz w:val="24"/>
          <w:szCs w:val="24"/>
          <w:lang w:val="en-US"/>
        </w:rPr>
      </w:pPr>
      <w:r>
        <w:rPr>
          <w:rFonts w:asciiTheme="majorBidi" w:hAnsiTheme="majorBidi" w:cstheme="majorBidi"/>
          <w:sz w:val="24"/>
          <w:szCs w:val="24"/>
        </w:rPr>
        <w:t>Aliya Sara</w:t>
      </w:r>
      <w:r w:rsidR="00467A23">
        <w:rPr>
          <w:rFonts w:asciiTheme="majorBidi" w:hAnsiTheme="majorBidi" w:cstheme="majorBidi"/>
          <w:sz w:val="24"/>
          <w:szCs w:val="24"/>
        </w:rPr>
        <w:t xml:space="preserve">, </w:t>
      </w:r>
      <w:r>
        <w:rPr>
          <w:rFonts w:asciiTheme="majorBidi" w:hAnsiTheme="majorBidi" w:cstheme="majorBidi"/>
          <w:sz w:val="24"/>
          <w:szCs w:val="24"/>
        </w:rPr>
        <w:t>Umar Natuna</w:t>
      </w:r>
      <w:r w:rsidR="00467A23">
        <w:rPr>
          <w:rFonts w:asciiTheme="majorBidi" w:hAnsiTheme="majorBidi" w:cstheme="majorBidi"/>
          <w:sz w:val="24"/>
          <w:szCs w:val="24"/>
        </w:rPr>
        <w:t xml:space="preserve">, </w:t>
      </w:r>
      <w:r>
        <w:rPr>
          <w:rFonts w:asciiTheme="majorBidi" w:hAnsiTheme="majorBidi" w:cstheme="majorBidi"/>
          <w:sz w:val="24"/>
          <w:szCs w:val="24"/>
        </w:rPr>
        <w:t>Tas’an</w:t>
      </w:r>
      <w:r w:rsidR="00E57A61">
        <w:rPr>
          <w:rFonts w:asciiTheme="majorBidi" w:hAnsiTheme="majorBidi" w:cstheme="majorBidi"/>
          <w:sz w:val="24"/>
          <w:szCs w:val="24"/>
          <w:lang w:val="en-US"/>
        </w:rPr>
        <w:t xml:space="preserve"> Bisri</w:t>
      </w:r>
    </w:p>
    <w:p w14:paraId="183DA448" w14:textId="77777777" w:rsidR="004F5FB7" w:rsidRPr="005316F0" w:rsidRDefault="005316F0">
      <w:pPr>
        <w:spacing w:after="0" w:line="360" w:lineRule="auto"/>
        <w:jc w:val="center"/>
        <w:rPr>
          <w:rFonts w:asciiTheme="majorBidi" w:hAnsiTheme="majorBidi" w:cstheme="majorBidi"/>
          <w:sz w:val="24"/>
          <w:szCs w:val="24"/>
          <w:lang w:val="en-US"/>
        </w:rPr>
      </w:pPr>
      <w:r>
        <w:rPr>
          <w:rFonts w:asciiTheme="majorBidi" w:hAnsiTheme="majorBidi" w:cstheme="majorBidi"/>
          <w:sz w:val="24"/>
          <w:szCs w:val="24"/>
        </w:rPr>
        <w:t>NIM/NIDN: 1215</w:t>
      </w:r>
      <w:r>
        <w:rPr>
          <w:rFonts w:asciiTheme="majorBidi" w:hAnsiTheme="majorBidi" w:cstheme="majorBidi"/>
          <w:sz w:val="24"/>
          <w:szCs w:val="24"/>
          <w:lang w:val="en-US"/>
        </w:rPr>
        <w:t>200125</w:t>
      </w:r>
      <w:r>
        <w:rPr>
          <w:rFonts w:asciiTheme="majorBidi" w:hAnsiTheme="majorBidi" w:cstheme="majorBidi"/>
          <w:sz w:val="24"/>
          <w:szCs w:val="24"/>
        </w:rPr>
        <w:t>, 21</w:t>
      </w:r>
      <w:r>
        <w:rPr>
          <w:rFonts w:asciiTheme="majorBidi" w:hAnsiTheme="majorBidi" w:cstheme="majorBidi"/>
          <w:sz w:val="24"/>
          <w:szCs w:val="24"/>
          <w:lang w:val="en-US"/>
        </w:rPr>
        <w:t>08046501</w:t>
      </w:r>
      <w:r>
        <w:rPr>
          <w:rFonts w:asciiTheme="majorBidi" w:hAnsiTheme="majorBidi" w:cstheme="majorBidi"/>
          <w:sz w:val="24"/>
          <w:szCs w:val="24"/>
        </w:rPr>
        <w:t>, 21</w:t>
      </w:r>
      <w:r>
        <w:rPr>
          <w:rFonts w:asciiTheme="majorBidi" w:hAnsiTheme="majorBidi" w:cstheme="majorBidi"/>
          <w:sz w:val="24"/>
          <w:szCs w:val="24"/>
          <w:lang w:val="en-US"/>
        </w:rPr>
        <w:t>01036601</w:t>
      </w:r>
    </w:p>
    <w:p w14:paraId="0FD41754" w14:textId="77777777" w:rsidR="004F5FB7" w:rsidRDefault="00467A23">
      <w:pPr>
        <w:spacing w:after="0" w:line="360" w:lineRule="auto"/>
        <w:jc w:val="center"/>
        <w:rPr>
          <w:rFonts w:asciiTheme="majorBidi" w:hAnsiTheme="majorBidi" w:cstheme="majorBidi"/>
          <w:sz w:val="24"/>
          <w:szCs w:val="24"/>
        </w:rPr>
      </w:pPr>
      <w:r>
        <w:rPr>
          <w:rFonts w:asciiTheme="majorBidi" w:hAnsiTheme="majorBidi" w:cstheme="majorBidi"/>
          <w:sz w:val="24"/>
          <w:szCs w:val="24"/>
        </w:rPr>
        <w:t xml:space="preserve">Program Studi </w:t>
      </w:r>
      <w:r w:rsidR="00051FC5">
        <w:rPr>
          <w:rFonts w:asciiTheme="majorBidi" w:hAnsiTheme="majorBidi" w:cstheme="majorBidi"/>
          <w:sz w:val="24"/>
          <w:szCs w:val="24"/>
        </w:rPr>
        <w:t>Hukum Pidana Islam</w:t>
      </w:r>
    </w:p>
    <w:p w14:paraId="568FBBB2" w14:textId="77777777" w:rsidR="004F5FB7" w:rsidRDefault="00467A23">
      <w:pPr>
        <w:spacing w:after="0" w:line="360" w:lineRule="auto"/>
        <w:jc w:val="center"/>
        <w:rPr>
          <w:rFonts w:asciiTheme="majorBidi" w:hAnsiTheme="majorBidi" w:cstheme="majorBidi"/>
          <w:sz w:val="24"/>
          <w:szCs w:val="24"/>
        </w:rPr>
      </w:pPr>
      <w:r>
        <w:rPr>
          <w:rFonts w:asciiTheme="majorBidi" w:hAnsiTheme="majorBidi" w:cstheme="majorBidi"/>
          <w:sz w:val="24"/>
          <w:szCs w:val="24"/>
        </w:rPr>
        <w:t>Sekolah Tinggi Agama Islam Natuna</w:t>
      </w:r>
    </w:p>
    <w:p w14:paraId="63206EC2" w14:textId="77777777" w:rsidR="004F5FB7" w:rsidRPr="005316F0" w:rsidRDefault="00467A23">
      <w:pPr>
        <w:spacing w:after="0" w:line="360" w:lineRule="auto"/>
        <w:jc w:val="center"/>
        <w:rPr>
          <w:rFonts w:asciiTheme="majorBidi" w:hAnsiTheme="majorBidi" w:cstheme="majorBidi"/>
          <w:i/>
          <w:sz w:val="24"/>
          <w:szCs w:val="24"/>
          <w:lang w:val="en-US"/>
        </w:rPr>
      </w:pPr>
      <w:r>
        <w:rPr>
          <w:rFonts w:asciiTheme="majorBidi" w:hAnsiTheme="majorBidi" w:cstheme="majorBidi"/>
          <w:i/>
          <w:sz w:val="24"/>
          <w:szCs w:val="24"/>
        </w:rPr>
        <w:t xml:space="preserve">Email; </w:t>
      </w:r>
      <w:r w:rsidR="005316F0">
        <w:rPr>
          <w:rStyle w:val="Hyperlink"/>
          <w:rFonts w:asciiTheme="majorBidi" w:hAnsiTheme="majorBidi" w:cstheme="majorBidi"/>
          <w:i/>
          <w:sz w:val="24"/>
          <w:szCs w:val="24"/>
          <w:lang w:val="en-US"/>
        </w:rPr>
        <w:t>aliyasara445@gmail.com</w:t>
      </w:r>
    </w:p>
    <w:p w14:paraId="6E45F32C" w14:textId="77777777" w:rsidR="004F5FB7" w:rsidRDefault="00467A23">
      <w:pPr>
        <w:spacing w:after="0" w:line="360" w:lineRule="auto"/>
        <w:jc w:val="center"/>
        <w:rPr>
          <w:rFonts w:asciiTheme="majorBidi" w:hAnsiTheme="majorBidi" w:cstheme="majorBidi"/>
          <w:b/>
          <w:bCs/>
          <w:i/>
          <w:sz w:val="24"/>
          <w:szCs w:val="24"/>
        </w:rPr>
      </w:pPr>
      <w:r>
        <w:rPr>
          <w:rFonts w:asciiTheme="majorBidi" w:hAnsiTheme="majorBidi" w:cstheme="majorBidi"/>
          <w:noProof/>
          <w:sz w:val="24"/>
          <w:szCs w:val="24"/>
          <w:lang w:val="en-US"/>
        </w:rPr>
        <mc:AlternateContent>
          <mc:Choice Requires="wps">
            <w:drawing>
              <wp:anchor distT="0" distB="0" distL="114300" distR="114300" simplePos="0" relativeHeight="251660288" behindDoc="0" locked="0" layoutInCell="1" allowOverlap="1" wp14:anchorId="5F35EC2A" wp14:editId="32B1F614">
                <wp:simplePos x="0" y="0"/>
                <wp:positionH relativeFrom="column">
                  <wp:posOffset>0</wp:posOffset>
                </wp:positionH>
                <wp:positionV relativeFrom="paragraph">
                  <wp:posOffset>38100</wp:posOffset>
                </wp:positionV>
                <wp:extent cx="5704205" cy="0"/>
                <wp:effectExtent l="38100" t="38100" r="67945" b="95250"/>
                <wp:wrapNone/>
                <wp:docPr id="4" name="Straight Connector 4"/>
                <wp:cNvGraphicFramePr/>
                <a:graphic xmlns:a="http://schemas.openxmlformats.org/drawingml/2006/main">
                  <a:graphicData uri="http://schemas.microsoft.com/office/word/2010/wordprocessingShape">
                    <wps:wsp>
                      <wps:cNvCnPr/>
                      <wps:spPr>
                        <a:xfrm>
                          <a:off x="0" y="0"/>
                          <a:ext cx="570420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D929ED5"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pt" to="449.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" strokecolor="black [3200]" strokeweight="2pt">
                <v:shadow on="t" color="black" opacity="24903f" origin=",.5" offset="0,.55556mm"/>
              </v:line>
            </w:pict>
          </mc:Fallback>
        </mc:AlternateContent>
      </w:r>
    </w:p>
    <w:p w14:paraId="0C8ED201" w14:textId="77777777" w:rsidR="004F5FB7" w:rsidRDefault="00467A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Abstrak</w:t>
      </w:r>
    </w:p>
    <w:p w14:paraId="5E1B1CF2" w14:textId="77777777" w:rsidR="004F5FB7" w:rsidRPr="00246660" w:rsidRDefault="00467A23">
      <w:pPr>
        <w:spacing w:after="0" w:line="240" w:lineRule="auto"/>
        <w:jc w:val="both"/>
        <w:rPr>
          <w:rFonts w:ascii="Times New Roman" w:hAnsi="Times New Roman" w:cs="Times New Roman"/>
        </w:rPr>
      </w:pPr>
      <w:r w:rsidRPr="00246660">
        <w:rPr>
          <w:rFonts w:ascii="Times New Roman" w:hAnsi="Times New Roman" w:cs="Times New Roman"/>
        </w:rPr>
        <w:t xml:space="preserve">Penelitian ini </w:t>
      </w:r>
      <w:r w:rsidR="00D96828" w:rsidRPr="00246660">
        <w:rPr>
          <w:rFonts w:ascii="Times New Roman" w:hAnsi="Times New Roman" w:cs="Times New Roman"/>
        </w:rPr>
        <w:t xml:space="preserve">bertujuan untuk </w:t>
      </w:r>
      <w:r w:rsidR="00D96828" w:rsidRPr="00246660">
        <w:rPr>
          <w:rFonts w:ascii="Times New Roman" w:hAnsi="Times New Roman" w:cs="Times New Roman"/>
          <w:lang w:val="en-US"/>
        </w:rPr>
        <w:t>membahas</w:t>
      </w:r>
      <w:r w:rsidR="00D96828" w:rsidRPr="00246660">
        <w:rPr>
          <w:rFonts w:ascii="Times New Roman" w:hAnsi="Times New Roman" w:cs="Times New Roman"/>
          <w:color w:val="FFFFFF" w:themeColor="background1"/>
          <w:lang w:val="en-US"/>
        </w:rPr>
        <w:t xml:space="preserve">i </w:t>
      </w:r>
      <w:r w:rsidR="00D96828" w:rsidRPr="00246660">
        <w:rPr>
          <w:rFonts w:ascii="Times New Roman" w:hAnsi="Times New Roman" w:cs="Times New Roman"/>
          <w:lang w:val="en-US"/>
        </w:rPr>
        <w:t>yang</w:t>
      </w:r>
      <w:r w:rsidR="00D96828" w:rsidRPr="00246660">
        <w:rPr>
          <w:rFonts w:ascii="Times New Roman" w:hAnsi="Times New Roman" w:cs="Times New Roman"/>
          <w:color w:val="FFFFFF" w:themeColor="background1"/>
          <w:lang w:val="en-US"/>
        </w:rPr>
        <w:t xml:space="preserve">i </w:t>
      </w:r>
      <w:r w:rsidR="00D96828" w:rsidRPr="00246660">
        <w:rPr>
          <w:rFonts w:ascii="Times New Roman" w:hAnsi="Times New Roman" w:cs="Times New Roman"/>
          <w:lang w:val="en-US"/>
        </w:rPr>
        <w:t>berkaitan</w:t>
      </w:r>
      <w:r w:rsidR="00D96828" w:rsidRPr="00246660">
        <w:rPr>
          <w:rFonts w:ascii="Times New Roman" w:hAnsi="Times New Roman" w:cs="Times New Roman"/>
          <w:color w:val="FFFFFF" w:themeColor="background1"/>
          <w:lang w:val="en-US"/>
        </w:rPr>
        <w:t>i</w:t>
      </w:r>
      <w:r w:rsidR="005316F0" w:rsidRPr="00246660">
        <w:rPr>
          <w:rFonts w:ascii="Times New Roman" w:hAnsi="Times New Roman" w:cs="Times New Roman"/>
          <w:lang w:val="en-US"/>
        </w:rPr>
        <w:t>dengan Tinjauan Hukum Islam Terhadap Putusan Hakim Pengadilan Negeri Ranai Mengenai Perkara Nomor : 34/Pid.Sus/2023/PN.Ntn Tindak Pidana Narkotika Golongan 1 bukan tanaman</w:t>
      </w:r>
      <w:r w:rsidRPr="00246660">
        <w:rPr>
          <w:rFonts w:ascii="Times New Roman" w:hAnsi="Times New Roman" w:cs="Times New Roman"/>
        </w:rPr>
        <w:t>.</w:t>
      </w:r>
      <w:r w:rsidRPr="00246660">
        <w:rPr>
          <w:rFonts w:ascii="Times New Roman" w:hAnsi="Times New Roman" w:cs="Times New Roman"/>
          <w:lang w:val="en-US"/>
        </w:rPr>
        <w:t xml:space="preserve"> </w:t>
      </w:r>
      <w:r w:rsidRPr="00246660">
        <w:rPr>
          <w:rFonts w:ascii="Times New Roman" w:hAnsi="Times New Roman" w:cs="Times New Roman"/>
        </w:rPr>
        <w:t xml:space="preserve">Penelitian ini menggunakan </w:t>
      </w:r>
      <w:r w:rsidR="00D96828" w:rsidRPr="00246660">
        <w:rPr>
          <w:rFonts w:ascii="Times New Roman" w:hAnsi="Times New Roman" w:cs="Times New Roman"/>
        </w:rPr>
        <w:t>metode penelitian hukum normatif</w:t>
      </w:r>
      <w:r w:rsidRPr="00246660">
        <w:rPr>
          <w:rFonts w:ascii="Times New Roman" w:hAnsi="Times New Roman" w:cs="Times New Roman"/>
        </w:rPr>
        <w:t xml:space="preserve">. </w:t>
      </w:r>
      <w:r w:rsidR="00D96828" w:rsidRPr="00246660">
        <w:rPr>
          <w:rFonts w:ascii="Times New Roman" w:hAnsi="Times New Roman" w:cs="Times New Roman"/>
        </w:rPr>
        <w:t>penelitian ini bersifat deskriptif</w:t>
      </w:r>
      <w:r w:rsidRPr="00246660">
        <w:rPr>
          <w:rFonts w:ascii="Times New Roman" w:hAnsi="Times New Roman" w:cs="Times New Roman"/>
          <w:lang w:val="en-US"/>
        </w:rPr>
        <w:t xml:space="preserve">. </w:t>
      </w:r>
      <w:r w:rsidR="000238A8" w:rsidRPr="00246660">
        <w:rPr>
          <w:rFonts w:ascii="Times New Roman" w:hAnsi="Times New Roman" w:cs="Times New Roman"/>
        </w:rPr>
        <w:t xml:space="preserve">Analisi data yang digunakan  mengumpulkan data dari bahan hukum primer yaitu berupa dokumen berkas putusan pidana Nomor: </w:t>
      </w:r>
      <w:r w:rsidR="000238A8" w:rsidRPr="00246660">
        <w:rPr>
          <w:rFonts w:ascii="Times New Roman" w:hAnsi="Times New Roman" w:cs="Times New Roman"/>
          <w:bCs/>
          <w:lang w:val="en-US"/>
        </w:rPr>
        <w:t>34/Pid.Sus/2023/PN.Ntn</w:t>
      </w:r>
      <w:r w:rsidR="000238A8" w:rsidRPr="00246660">
        <w:rPr>
          <w:rFonts w:ascii="Times New Roman" w:hAnsi="Times New Roman" w:cs="Times New Roman"/>
          <w:b/>
          <w:bCs/>
          <w:lang w:val="en-US"/>
        </w:rPr>
        <w:t>.</w:t>
      </w:r>
      <w:r w:rsidR="000238A8" w:rsidRPr="00246660">
        <w:rPr>
          <w:rFonts w:ascii="Times New Roman" w:hAnsi="Times New Roman" w:cs="Times New Roman"/>
          <w:b/>
          <w:bCs/>
        </w:rPr>
        <w:t xml:space="preserve"> </w:t>
      </w:r>
      <w:r w:rsidRPr="00246660">
        <w:rPr>
          <w:rFonts w:ascii="Times New Roman" w:hAnsi="Times New Roman" w:cs="Times New Roman"/>
          <w:lang w:val="en-US"/>
        </w:rPr>
        <w:t>Berdasarkan hasil penelitian</w:t>
      </w:r>
      <w:r w:rsidR="000238A8" w:rsidRPr="00246660">
        <w:rPr>
          <w:rFonts w:ascii="Times New Roman" w:hAnsi="Times New Roman" w:cs="Times New Roman"/>
        </w:rPr>
        <w:t xml:space="preserve"> keputusan majelis hakim dalam kasus Irwan Setiawan menunjukkan penerapan hukum yang belum sepenuhnya mencerminkan keadilan. Proses pembuktian dalam perkara Nomor 34/Pid.sus.PN.Ntn telah memenuhi syarat hukum sesuai Pasal 112 ayat (1) Undang-Undang RI Nomor 35 Tahun 2009 tentang Narkotika Meskipun sanksi sudah dijatuhkan, hakim dianggap kurang tepat dalam mengkategorikan terdakwa sebagai penyalahguna dan pecandu narkotika. Menurut Pasal 103 Undang-Undang Nomor 35 Tahun 2009 dan hukum Islam mengenai hukum takzir, pengedar narkoba seharusnya dikenakan hukuman berat, bahkan hukuman mati, sementara pengguna dapat dikenakan berbagai sanksi seperti rehabilitasi, denda, atau kerja sosial. </w:t>
      </w:r>
    </w:p>
    <w:p w14:paraId="51324CAD" w14:textId="77777777" w:rsidR="000238A8" w:rsidRDefault="000238A8">
      <w:pPr>
        <w:spacing w:after="0" w:line="240" w:lineRule="auto"/>
        <w:jc w:val="both"/>
        <w:rPr>
          <w:rFonts w:asciiTheme="majorBidi" w:hAnsiTheme="majorBidi" w:cstheme="majorBidi"/>
          <w:b/>
          <w:bCs/>
          <w:color w:val="0D0D0D" w:themeColor="text1" w:themeTint="F2"/>
          <w:sz w:val="20"/>
          <w:szCs w:val="20"/>
        </w:rPr>
      </w:pPr>
    </w:p>
    <w:p w14:paraId="11B45DBF" w14:textId="77777777" w:rsidR="004F5FB7" w:rsidRPr="000238A8" w:rsidRDefault="00467A23">
      <w:pPr>
        <w:spacing w:line="240" w:lineRule="auto"/>
        <w:jc w:val="both"/>
        <w:rPr>
          <w:rFonts w:asciiTheme="majorBidi" w:hAnsiTheme="majorBidi" w:cstheme="majorBidi"/>
          <w:b/>
          <w:bCs/>
          <w:i/>
          <w:color w:val="0D0D0D" w:themeColor="text1" w:themeTint="F2"/>
          <w:sz w:val="20"/>
          <w:szCs w:val="20"/>
        </w:rPr>
      </w:pPr>
      <w:r>
        <w:rPr>
          <w:rFonts w:asciiTheme="majorBidi" w:hAnsiTheme="majorBidi" w:cstheme="majorBidi"/>
          <w:b/>
          <w:bCs/>
          <w:i/>
          <w:color w:val="0D0D0D" w:themeColor="text1" w:themeTint="F2"/>
          <w:sz w:val="20"/>
          <w:szCs w:val="20"/>
        </w:rPr>
        <w:t xml:space="preserve">Kata Kunci : </w:t>
      </w:r>
      <w:r w:rsidR="000238A8">
        <w:rPr>
          <w:rFonts w:asciiTheme="majorBidi" w:hAnsiTheme="majorBidi" w:cstheme="majorBidi"/>
          <w:b/>
          <w:bCs/>
          <w:i/>
          <w:color w:val="0D0D0D" w:themeColor="text1" w:themeTint="F2"/>
          <w:sz w:val="20"/>
          <w:szCs w:val="20"/>
        </w:rPr>
        <w:t>Hukum</w:t>
      </w:r>
      <w:r>
        <w:rPr>
          <w:rFonts w:asciiTheme="majorBidi" w:hAnsiTheme="majorBidi" w:cstheme="majorBidi"/>
          <w:b/>
          <w:bCs/>
          <w:i/>
          <w:color w:val="0D0D0D" w:themeColor="text1" w:themeTint="F2"/>
          <w:sz w:val="20"/>
          <w:szCs w:val="20"/>
          <w:lang w:val="en-US"/>
        </w:rPr>
        <w:t xml:space="preserve">, </w:t>
      </w:r>
      <w:r w:rsidR="000238A8">
        <w:rPr>
          <w:rFonts w:asciiTheme="majorBidi" w:hAnsiTheme="majorBidi" w:cstheme="majorBidi"/>
          <w:b/>
          <w:bCs/>
          <w:i/>
          <w:color w:val="0D0D0D" w:themeColor="text1" w:themeTint="F2"/>
          <w:sz w:val="20"/>
          <w:szCs w:val="20"/>
        </w:rPr>
        <w:t>Pidana</w:t>
      </w:r>
      <w:r>
        <w:rPr>
          <w:rFonts w:asciiTheme="majorBidi" w:hAnsiTheme="majorBidi" w:cstheme="majorBidi"/>
          <w:b/>
          <w:bCs/>
          <w:i/>
          <w:color w:val="0D0D0D" w:themeColor="text1" w:themeTint="F2"/>
          <w:sz w:val="20"/>
          <w:szCs w:val="20"/>
          <w:lang w:val="en-US"/>
        </w:rPr>
        <w:t xml:space="preserve">, </w:t>
      </w:r>
      <w:r w:rsidR="000238A8">
        <w:rPr>
          <w:rFonts w:asciiTheme="majorBidi" w:hAnsiTheme="majorBidi" w:cstheme="majorBidi"/>
          <w:b/>
          <w:bCs/>
          <w:i/>
          <w:color w:val="0D0D0D" w:themeColor="text1" w:themeTint="F2"/>
          <w:sz w:val="20"/>
          <w:szCs w:val="20"/>
        </w:rPr>
        <w:t>Narkotika</w:t>
      </w:r>
    </w:p>
    <w:p w14:paraId="4F7D1425" w14:textId="77777777" w:rsidR="004F5FB7" w:rsidRDefault="00467A23" w:rsidP="00426941">
      <w:pPr>
        <w:spacing w:after="0" w:line="240" w:lineRule="auto"/>
        <w:jc w:val="center"/>
        <w:rPr>
          <w:rFonts w:asciiTheme="majorBidi" w:hAnsiTheme="majorBidi" w:cstheme="majorBidi"/>
          <w:b/>
          <w:bCs/>
          <w:iCs/>
          <w:color w:val="0D0D0D" w:themeColor="text1" w:themeTint="F2"/>
          <w:sz w:val="20"/>
          <w:szCs w:val="20"/>
        </w:rPr>
      </w:pPr>
      <w:r>
        <w:rPr>
          <w:rFonts w:asciiTheme="majorBidi" w:hAnsiTheme="majorBidi" w:cstheme="majorBidi"/>
          <w:b/>
          <w:bCs/>
          <w:iCs/>
          <w:color w:val="0D0D0D" w:themeColor="text1" w:themeTint="F2"/>
          <w:sz w:val="20"/>
          <w:szCs w:val="20"/>
        </w:rPr>
        <w:t>Abstract</w:t>
      </w:r>
    </w:p>
    <w:p w14:paraId="0C7AAC48" w14:textId="77777777" w:rsidR="004F5FB7" w:rsidRDefault="004F5FB7">
      <w:pPr>
        <w:spacing w:after="0" w:line="240" w:lineRule="auto"/>
        <w:jc w:val="both"/>
        <w:rPr>
          <w:rFonts w:asciiTheme="majorBidi" w:hAnsiTheme="majorBidi" w:cstheme="majorBidi"/>
          <w:b/>
          <w:bCs/>
          <w:iCs/>
          <w:color w:val="0D0D0D" w:themeColor="text1" w:themeTint="F2"/>
          <w:sz w:val="20"/>
          <w:szCs w:val="20"/>
        </w:rPr>
      </w:pPr>
    </w:p>
    <w:p w14:paraId="592FFBA7" w14:textId="77777777" w:rsidR="000238A8" w:rsidRPr="004A163D" w:rsidRDefault="000238A8" w:rsidP="000238A8">
      <w:pPr>
        <w:spacing w:after="0" w:line="240" w:lineRule="auto"/>
        <w:jc w:val="both"/>
        <w:rPr>
          <w:rFonts w:asciiTheme="majorBidi" w:hAnsiTheme="majorBidi" w:cstheme="majorBidi"/>
          <w:i/>
          <w:iCs/>
        </w:rPr>
      </w:pPr>
      <w:r w:rsidRPr="004A163D">
        <w:rPr>
          <w:rFonts w:asciiTheme="majorBidi" w:hAnsiTheme="majorBidi" w:cstheme="majorBidi"/>
          <w:i/>
          <w:iCs/>
        </w:rPr>
        <w:t xml:space="preserve">This research aims to discuss matters related to the decisions and considerations of the panel of judges in deciding on defendants regarding narcotics abuse at trials at the Ranaii District Court from an Islamic Criminal Law perspective. This research uses normative legal research methods. This research is descriptive in nature. The data analysis used collects data from primary legal materials, namely in the form of criminal decision file documents Number: 34/Pid.Sus/2023/PN.Ntn. Based on research results, the decision of the panel of judges in the Irwan Setiawan case shows that the application of the law does not fully reflect justice. The evidentiary process in case Number 34/Pid.sus.PN.Ntn has fulfilled the legal requirements in accordance with Article 112 paragraph (1) of the Republic of Indonesia Law Number 35 of 2009 concerning Narcotics. Even though sanctions have been imposed, the judge was deemed inappropriate in categorizing the defendant as a drug abuser and narcotics addict. According to Article 103 of Law Number 35 of 2009 and Islamic law regarding the law of takzir, drug dealers should be subject to severe punishment, even the death penalty, while users can be subject to various sanctions such as rehabilitation, fines, or social work. </w:t>
      </w:r>
    </w:p>
    <w:p w14:paraId="20D62A09" w14:textId="77777777" w:rsidR="000238A8" w:rsidRPr="000238A8" w:rsidRDefault="000238A8" w:rsidP="000238A8">
      <w:pPr>
        <w:spacing w:after="0" w:line="240" w:lineRule="auto"/>
        <w:jc w:val="both"/>
        <w:rPr>
          <w:rFonts w:asciiTheme="majorBidi" w:hAnsiTheme="majorBidi" w:cstheme="majorBidi"/>
          <w:b/>
          <w:bCs/>
          <w:i/>
          <w:iCs/>
          <w:sz w:val="20"/>
          <w:szCs w:val="20"/>
        </w:rPr>
      </w:pPr>
    </w:p>
    <w:p w14:paraId="5317521E" w14:textId="77777777" w:rsidR="004F5FB7" w:rsidRPr="000238A8" w:rsidRDefault="000238A8" w:rsidP="000238A8">
      <w:pPr>
        <w:spacing w:after="0" w:line="240" w:lineRule="auto"/>
        <w:jc w:val="both"/>
        <w:rPr>
          <w:rFonts w:asciiTheme="majorBidi" w:hAnsiTheme="majorBidi" w:cstheme="majorBidi"/>
          <w:b/>
          <w:bCs/>
          <w:i/>
          <w:iCs/>
          <w:sz w:val="20"/>
          <w:szCs w:val="20"/>
        </w:rPr>
      </w:pPr>
      <w:r w:rsidRPr="000238A8">
        <w:rPr>
          <w:rFonts w:asciiTheme="majorBidi" w:hAnsiTheme="majorBidi" w:cstheme="majorBidi"/>
          <w:b/>
          <w:bCs/>
          <w:i/>
          <w:iCs/>
          <w:sz w:val="20"/>
          <w:szCs w:val="20"/>
        </w:rPr>
        <w:t>Keywords: Law, Crime, Narcotics</w:t>
      </w:r>
    </w:p>
    <w:p w14:paraId="40B6213D" w14:textId="77777777" w:rsidR="004F5FB7" w:rsidRDefault="004F5FB7">
      <w:pPr>
        <w:spacing w:after="0" w:line="360" w:lineRule="auto"/>
        <w:jc w:val="both"/>
        <w:rPr>
          <w:rFonts w:asciiTheme="majorBidi" w:hAnsiTheme="majorBidi" w:cstheme="majorBidi"/>
          <w:b/>
          <w:bCs/>
          <w:i/>
          <w:iCs/>
          <w:color w:val="0D0D0D" w:themeColor="text1" w:themeTint="F2"/>
          <w:sz w:val="24"/>
          <w:szCs w:val="24"/>
        </w:rPr>
      </w:pPr>
    </w:p>
    <w:p w14:paraId="262600EC" w14:textId="77777777" w:rsidR="004F5FB7" w:rsidRDefault="00467A23">
      <w:pPr>
        <w:rPr>
          <w:rFonts w:asciiTheme="majorBidi" w:hAnsiTheme="majorBidi" w:cstheme="majorBidi"/>
          <w:b/>
          <w:color w:val="0D0D0D" w:themeColor="text1" w:themeTint="F2"/>
          <w:sz w:val="24"/>
          <w:szCs w:val="24"/>
        </w:rPr>
      </w:pPr>
      <w:r>
        <w:rPr>
          <w:rFonts w:asciiTheme="majorBidi" w:hAnsiTheme="majorBidi" w:cstheme="majorBidi"/>
          <w:b/>
          <w:color w:val="0D0D0D" w:themeColor="text1" w:themeTint="F2"/>
          <w:sz w:val="24"/>
          <w:szCs w:val="24"/>
        </w:rPr>
        <w:lastRenderedPageBreak/>
        <w:br w:type="page"/>
      </w:r>
    </w:p>
    <w:p w14:paraId="1AFE1675" w14:textId="77777777" w:rsidR="004F5FB7" w:rsidRDefault="004F5FB7">
      <w:pPr>
        <w:pStyle w:val="ListParagraph"/>
        <w:spacing w:line="360" w:lineRule="auto"/>
        <w:jc w:val="both"/>
        <w:rPr>
          <w:rFonts w:asciiTheme="majorBidi" w:hAnsiTheme="majorBidi" w:cstheme="majorBidi"/>
          <w:b/>
          <w:color w:val="0D0D0D" w:themeColor="text1" w:themeTint="F2"/>
          <w:sz w:val="24"/>
          <w:szCs w:val="24"/>
        </w:rPr>
        <w:sectPr w:rsidR="004F5FB7" w:rsidSect="001A6D42">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9" w:footer="709" w:gutter="0"/>
          <w:pgNumType w:start="182"/>
          <w:cols w:space="708"/>
          <w:docGrid w:linePitch="360"/>
        </w:sectPr>
      </w:pPr>
    </w:p>
    <w:p w14:paraId="20B04D3D" w14:textId="77777777" w:rsidR="004F5FB7" w:rsidRDefault="00467A23">
      <w:pPr>
        <w:pStyle w:val="ListParagraph"/>
        <w:numPr>
          <w:ilvl w:val="0"/>
          <w:numId w:val="1"/>
        </w:numPr>
        <w:spacing w:after="0" w:line="360" w:lineRule="auto"/>
        <w:ind w:left="714" w:hanging="357"/>
        <w:jc w:val="both"/>
        <w:rPr>
          <w:rFonts w:asciiTheme="majorBidi" w:hAnsiTheme="majorBidi" w:cstheme="majorBidi"/>
          <w:b/>
          <w:color w:val="0D0D0D" w:themeColor="text1" w:themeTint="F2"/>
          <w:sz w:val="24"/>
          <w:szCs w:val="24"/>
        </w:rPr>
      </w:pPr>
      <w:r>
        <w:rPr>
          <w:rFonts w:asciiTheme="majorBidi" w:hAnsiTheme="majorBidi" w:cstheme="majorBidi"/>
          <w:b/>
          <w:color w:val="0D0D0D" w:themeColor="text1" w:themeTint="F2"/>
          <w:sz w:val="24"/>
          <w:szCs w:val="24"/>
        </w:rPr>
        <w:lastRenderedPageBreak/>
        <w:t>PENDAHULUAN</w:t>
      </w:r>
    </w:p>
    <w:p w14:paraId="268FE29F" w14:textId="77777777" w:rsidR="005D52EB" w:rsidRDefault="005D52EB" w:rsidP="005E2C4D">
      <w:pPr>
        <w:pStyle w:val="ListParagraph"/>
        <w:tabs>
          <w:tab w:val="left" w:pos="851"/>
        </w:tabs>
        <w:spacing w:before="240" w:after="0" w:line="360" w:lineRule="auto"/>
        <w:ind w:left="540" w:firstLine="720"/>
        <w:jc w:val="both"/>
        <w:rPr>
          <w:rFonts w:ascii="Times New Roman" w:hAnsi="Times New Roman"/>
          <w:sz w:val="24"/>
          <w:szCs w:val="24"/>
        </w:rPr>
      </w:pPr>
      <w:r w:rsidRPr="007D2379">
        <w:rPr>
          <w:rFonts w:ascii="Times New Roman" w:hAnsi="Times New Roman" w:cs="Times New Roman"/>
          <w:sz w:val="24"/>
          <w:szCs w:val="24"/>
          <w:lang w:val="en-US"/>
        </w:rPr>
        <w:t>Narkotika adalah termasuk salah satu perilaku penyakit masyarakat. Seringkali masyarakat melakukan usaha berupa menjual dan mengosumsi  sesuatu yang terkadang melanggar Hukum Islam dan Hukum Positif yang telah di tetapkan, akibatnya bisa berdampak negatif terhadap kehidupan masyarakat di sekitarnya. Keberadaan penjual yang melanggar Hukum Islam dan Hukum Positif yang dimaksudkan adalah keberadaan pengosumsi  Narkotika yang telah penulis sebutkan diatas.</w:t>
      </w:r>
      <w:r w:rsidR="00D71CA8">
        <w:rPr>
          <w:rFonts w:ascii="Times New Roman" w:hAnsi="Times New Roman"/>
          <w:sz w:val="24"/>
          <w:szCs w:val="24"/>
        </w:rPr>
        <w:t xml:space="preserve"> </w:t>
      </w:r>
      <w:r w:rsidR="00D71CA8">
        <w:rPr>
          <w:rFonts w:ascii="Times New Roman" w:hAnsi="Times New Roman"/>
          <w:sz w:val="24"/>
          <w:szCs w:val="24"/>
        </w:rPr>
        <w:fldChar w:fldCharType="begin" w:fldLock="1"/>
      </w:r>
      <w:r w:rsidR="00D71CA8">
        <w:rPr>
          <w:rFonts w:ascii="Times New Roman" w:hAnsi="Times New Roman"/>
          <w:sz w:val="24"/>
          <w:szCs w:val="24"/>
        </w:rPr>
        <w:instrText>ADDIN CSL_CITATION {"citationItems":[{"id":"ITEM-1","itemData":{"abstract":"… bahwa narkoba adalah haram, karena pada narkoba terdapat illat (… narkoba, sepanjang narkoba dipergunakan di jalan benar, maka Islam masih memberikan toleransi. Artinya narkoba …","author":[{"dropping-particle":"","family":"Sudargo","given":"","non-dropping-particle":"","parse-names":false,"suffix":""}],"id":"ITEM-1","issued":{"date-parts":[["2018"]]},"page":"1-16","title":"Penyalahgunaan Narkoba Menurut Hukum Positip Dan Hukum Islam","type":"article-journal"},"uris":["http://www.mendeley.com/documents/?uuid=349d776d-ad15-48ed-b014-ad680584e5cc"]}],"mendeley":{"formattedCitation":"(Sudargo, 2018)","plainTextFormattedCitation":"(Sudargo, 2018)","previouslyFormattedCitation":"(Sudargo, 2018)"},"properties":{"noteIndex":0},"schema":"https://github.com/citation-style-language/schema/raw/master/csl-citation.json"}</w:instrText>
      </w:r>
      <w:r w:rsidR="00D71CA8">
        <w:rPr>
          <w:rFonts w:ascii="Times New Roman" w:hAnsi="Times New Roman"/>
          <w:sz w:val="24"/>
          <w:szCs w:val="24"/>
        </w:rPr>
        <w:fldChar w:fldCharType="separate"/>
      </w:r>
      <w:r w:rsidR="00D71CA8" w:rsidRPr="00D71CA8">
        <w:rPr>
          <w:rFonts w:ascii="Times New Roman" w:hAnsi="Times New Roman"/>
          <w:noProof/>
          <w:sz w:val="24"/>
          <w:szCs w:val="24"/>
        </w:rPr>
        <w:t>(Sudargo, 2018)</w:t>
      </w:r>
      <w:r w:rsidR="00D71CA8">
        <w:rPr>
          <w:rFonts w:ascii="Times New Roman" w:hAnsi="Times New Roman"/>
          <w:sz w:val="24"/>
          <w:szCs w:val="24"/>
        </w:rPr>
        <w:fldChar w:fldCharType="end"/>
      </w:r>
    </w:p>
    <w:p w14:paraId="78F5AFD8" w14:textId="77777777" w:rsidR="009063F5" w:rsidRDefault="00D774BC" w:rsidP="005E2C4D">
      <w:pPr>
        <w:pStyle w:val="ListParagraph"/>
        <w:tabs>
          <w:tab w:val="left" w:pos="851"/>
        </w:tabs>
        <w:spacing w:before="240" w:after="0" w:line="360" w:lineRule="auto"/>
        <w:ind w:left="540" w:firstLine="720"/>
        <w:jc w:val="both"/>
        <w:rPr>
          <w:rFonts w:ascii="Times New Roman" w:hAnsi="Times New Roman" w:cs="Times New Roman"/>
          <w:sz w:val="24"/>
          <w:szCs w:val="24"/>
        </w:rPr>
      </w:pPr>
      <w:r w:rsidRPr="007D2379">
        <w:rPr>
          <w:rFonts w:ascii="Times New Roman" w:hAnsi="Times New Roman" w:cs="Times New Roman"/>
          <w:sz w:val="24"/>
          <w:szCs w:val="24"/>
        </w:rPr>
        <w:t>Pandangan Yusuf al-Qaradawi mengenai masalah ganja dan hukum Islam menyoroti bahwa pengaturan mengenai substansi seperti narkotika bisa dipahami melalui prinsip-prinsip</w:t>
      </w:r>
      <w:r w:rsidR="00B7466A">
        <w:rPr>
          <w:rFonts w:ascii="Times New Roman" w:hAnsi="Times New Roman" w:cs="Times New Roman"/>
          <w:sz w:val="24"/>
          <w:szCs w:val="24"/>
        </w:rPr>
        <w:t xml:space="preserve"> umum dalam Al-Quran dan Hadits</w:t>
      </w:r>
      <w:r>
        <w:rPr>
          <w:rFonts w:ascii="Times New Roman" w:hAnsi="Times New Roman" w:cs="Times New Roman"/>
          <w:sz w:val="24"/>
          <w:szCs w:val="24"/>
        </w:rPr>
        <w:t>.</w:t>
      </w:r>
      <w:r w:rsidR="00D71CA8">
        <w:rPr>
          <w:rFonts w:ascii="Times New Roman" w:hAnsi="Times New Roman" w:cs="Times New Roman"/>
          <w:sz w:val="24"/>
          <w:szCs w:val="24"/>
        </w:rPr>
        <w:fldChar w:fldCharType="begin" w:fldLock="1"/>
      </w:r>
      <w:r w:rsidR="00D71CA8">
        <w:rPr>
          <w:rFonts w:ascii="Times New Roman" w:hAnsi="Times New Roman" w:cs="Times New Roman"/>
          <w:sz w:val="24"/>
          <w:szCs w:val="24"/>
        </w:rPr>
        <w:instrText>ADDIN CSL_CITATION {"citationItems":[{"id":"ITEM-1","itemData":{"DOI":"10.37253/jjr.v23i2.4957","ISSN":"1907-6479","abstract":"Ta'zir is one of the three divisions of criminal acts (jarimah) in Islamic Criminal Law. When compared with jarimah hudud and qishash diyat, jarimah ta'zir has a special character in the form of “kemaslahatan umum”. The character causes the mention of jarimah ta'zir not to be specified by the text, but rather the type and punishment handed over to ulil amri. If seen in the context of Indonesia, it is not possible to apply jarimah ta’zir in the midst of a plural society. In fact the term ta'zir is often used in referring to the penalties applied in the boarding school environment (pesantren). This research is a normative legal research. This research shows that the application of ta'zir in the pesantren environment is not just the use of the term alone but is the application of ta'zir as in Islamic Criminal Law. The empirical application of the concept of criminal ta'zir has actually been widely carried out in the social life of the Indonesian people. This is due to the pattern of jarimah ta’zir in the form of public benefit so that in actual social life Indonesia has already implemented jarimah ta’zir.","author":[{"dropping-particle":"","family":"Rofiq","given":"Ahmad","non-dropping-particle":"","parse-names":false,"suffix":""},{"dropping-particle":"","family":"Pujiyono","given":"Pujiyono","non-dropping-particle":"","parse-names":false,"suffix":""},{"dropping-particle":"","family":"Arief","given":"Barda Nawawi","non-dropping-particle":"","parse-names":false,"suffix":""}],"container-title":"Journal of Judicial Review","id":"ITEM-1","issue":"2","issued":{"date-parts":[["2021"]]},"page":"241","title":"Eksistensi Tindak Pidana Ta’zir dalam Kehidupan Masyarakat Indonesia","type":"article-journal","volume":"23"},"uris":["http://www.mendeley.com/documents/?uuid=35fb97c6-01c9-4f48-a751-9c11b0616e09"]}],"mendeley":{"formattedCitation":"(Rofiq et al., 2021)","plainTextFormattedCitation":"(Rofiq et al., 2021)","previouslyFormattedCitation":"(Rofiq et al., 2021)"},"properties":{"noteIndex":0},"schema":"https://github.com/citation-style-language/schema/raw/master/csl-citation.json"}</w:instrText>
      </w:r>
      <w:r w:rsidR="00D71CA8">
        <w:rPr>
          <w:rFonts w:ascii="Times New Roman" w:hAnsi="Times New Roman" w:cs="Times New Roman"/>
          <w:sz w:val="24"/>
          <w:szCs w:val="24"/>
        </w:rPr>
        <w:fldChar w:fldCharType="separate"/>
      </w:r>
      <w:r w:rsidR="00D71CA8" w:rsidRPr="00D71CA8">
        <w:rPr>
          <w:rFonts w:ascii="Times New Roman" w:hAnsi="Times New Roman" w:cs="Times New Roman"/>
          <w:noProof/>
          <w:sz w:val="24"/>
          <w:szCs w:val="24"/>
        </w:rPr>
        <w:t>(Rofiq et al., 2021)</w:t>
      </w:r>
      <w:r w:rsidR="00D71CA8">
        <w:rPr>
          <w:rFonts w:ascii="Times New Roman" w:hAnsi="Times New Roman" w:cs="Times New Roman"/>
          <w:sz w:val="24"/>
          <w:szCs w:val="24"/>
        </w:rPr>
        <w:fldChar w:fldCharType="end"/>
      </w:r>
    </w:p>
    <w:p w14:paraId="0467F99E" w14:textId="77777777" w:rsidR="005316F0" w:rsidRDefault="00D774BC" w:rsidP="005E2C4D">
      <w:pPr>
        <w:pStyle w:val="ListParagraph"/>
        <w:tabs>
          <w:tab w:val="left" w:pos="851"/>
        </w:tabs>
        <w:spacing w:before="240" w:after="0" w:line="360" w:lineRule="auto"/>
        <w:ind w:left="540" w:firstLine="720"/>
        <w:jc w:val="both"/>
        <w:rPr>
          <w:rFonts w:ascii="Times New Roman" w:hAnsi="Times New Roman" w:cs="Times New Roman"/>
          <w:sz w:val="24"/>
          <w:szCs w:val="24"/>
          <w:lang w:val="en-US"/>
        </w:rPr>
      </w:pPr>
      <w:r w:rsidRPr="007D2379">
        <w:rPr>
          <w:rFonts w:ascii="Times New Roman" w:hAnsi="Times New Roman" w:cs="Times New Roman"/>
          <w:sz w:val="24"/>
          <w:szCs w:val="24"/>
        </w:rPr>
        <w:t>Konsep ini menunjukkan bahwa hukum Islam tidak hanya berfokus pada larangan eksplisit terhadap alkohol (khamr) tetapi juga melibatkan prinsip dasar seperti menjaga akal dan kesehatan</w:t>
      </w:r>
      <w:r w:rsidR="0045394B">
        <w:rPr>
          <w:rFonts w:ascii="Times New Roman" w:hAnsi="Times New Roman" w:cs="Times New Roman"/>
          <w:sz w:val="24"/>
          <w:szCs w:val="24"/>
        </w:rPr>
        <w:fldChar w:fldCharType="begin" w:fldLock="1"/>
      </w:r>
      <w:r w:rsidR="0045394B">
        <w:rPr>
          <w:rFonts w:ascii="Times New Roman" w:hAnsi="Times New Roman" w:cs="Times New Roman"/>
          <w:sz w:val="24"/>
          <w:szCs w:val="24"/>
        </w:rPr>
        <w:instrText>ADDIN CSL_CITATION {"citationItems":[{"id":"ITEM-1","itemData":{"ISBN":"1975072020050","abstract":"Narkotika secara etimologi berasal dari kata Narcoticum yang berarti obat bius. Disebutkan bahwa narkotika merupakan zat atau obat yang berasal dari tanaman bukan tanaman, baik sintesis maupun semi sintesis yang dapat menyebabkan penurunan atau perubahan, hilangnya rasa nyeri, dan dapat menimbulkan ketergantungan. Dalam Hukum Positif Indonesia, Penggunaan narkotika diatur dalam Undang-Undang Nomor 35 Tahun 2009, yaitu untuk pelayanan kesehatan dan pengembangan ilmu pengetahuan. Sedangkan dalam Hukum Islam, narkotika dianalogikan sebagai khamr karena mempunyai illat yang sama dengan khamr yaitu dapat merusak akal dan memabukkan yang haram hukumnya apabila dikonsumsi. Dari kedua sumber dasar hukum tersebut, bagaimana hukum penggunaan narkotika dalam hukum Positif Indonesia dan hukum Islam serta bagaimana komparasi tentang narkotika dalam Hukum Positif Indonesia dan Hukum Islam. Penelitian ini merupakan jenis penelitian kepustakaan (library research), yaitu penulis mencoba mengumpulkan data dan informasi yang bersumber dari data-data kepustakaan seperti buku, jurnal, kitab, dan artikel. Dalam penelitian ini penulis membahas dua peraturan yang berbeda antara Hukum Positif dan Hukum Islam. Serta metode analisis data yaitu content analysis atau analisis isi, dan kemudian dianalisis secara kualitatif dengan menggunakan metode komparatif. Penelitian ini menunjukan bahwa penggunaan narkotika untuk pengobatan dalam Hukum Positif Indonesia merupakan hal yang lazim dilakukan, asalkan penggunaannya diawasi oleh seseorang yang ahli dalam bidangnya atau seorang dokter. Sedangkan dalam Hukum Islam penggunaan narkotika atau sejenis khamr hukumnya tetaplah haram sedikit ataupun banyak jumlahnya yang dikonsumsi, akan tetapi Hukum Islam memberikan keringanan (rukhsah) dengan adanya kaidah tentang keadaan darurat, yaitu sesuatu yang haram boleh dikonsumsi akan tetapi harus memenuhi syarat-syarat dari keadaan darurat.","author":[{"dropping-particle":"","family":"Andriyani","given":"Sofi","non-dropping-particle":"","parse-names":false,"suffix":""}],"id":"ITEM-1","issued":{"date-parts":[["2021"]]},"number-of-pages":"1-92","title":"Penggunaan Narkotika untuk Pengobatan (Studi Komparatif antara Hukum Islam dan Hukum Positif)","type":"book"},"uris":["http://www.mendeley.com/documents/?uuid=358f3597-f2aa-40f6-80d6-bbeffa4d3876"]}],"mendeley":{"formattedCitation":"(Andriyani, 2021)","plainTextFormattedCitation":"(Andriyani, 2021)","previouslyFormattedCitation":"(Andriyani, 2021)"},"properties":{"noteIndex":0},"schema":"https://github.com/citation-style-language/schema/raw/master/csl-citation.json"}</w:instrText>
      </w:r>
      <w:r w:rsidR="0045394B">
        <w:rPr>
          <w:rFonts w:ascii="Times New Roman" w:hAnsi="Times New Roman" w:cs="Times New Roman"/>
          <w:sz w:val="24"/>
          <w:szCs w:val="24"/>
        </w:rPr>
        <w:fldChar w:fldCharType="separate"/>
      </w:r>
      <w:r w:rsidR="0045394B" w:rsidRPr="0045394B">
        <w:rPr>
          <w:rFonts w:ascii="Times New Roman" w:hAnsi="Times New Roman" w:cs="Times New Roman"/>
          <w:noProof/>
          <w:sz w:val="24"/>
          <w:szCs w:val="24"/>
        </w:rPr>
        <w:t>(Andriyani, 2021)</w:t>
      </w:r>
      <w:r w:rsidR="0045394B">
        <w:rPr>
          <w:rFonts w:ascii="Times New Roman" w:hAnsi="Times New Roman" w:cs="Times New Roman"/>
          <w:sz w:val="24"/>
          <w:szCs w:val="24"/>
        </w:rPr>
        <w:fldChar w:fldCharType="end"/>
      </w:r>
      <w:r w:rsidRPr="007D2379">
        <w:rPr>
          <w:rFonts w:ascii="Times New Roman" w:hAnsi="Times New Roman" w:cs="Times New Roman"/>
          <w:sz w:val="24"/>
          <w:szCs w:val="24"/>
        </w:rPr>
        <w:t>.</w:t>
      </w:r>
    </w:p>
    <w:p w14:paraId="23DFD786" w14:textId="77777777" w:rsidR="00D774BC" w:rsidRDefault="00D774BC" w:rsidP="005E2C4D">
      <w:pPr>
        <w:pStyle w:val="ListParagraph"/>
        <w:tabs>
          <w:tab w:val="left" w:pos="851"/>
        </w:tabs>
        <w:spacing w:before="240" w:after="0" w:line="360" w:lineRule="auto"/>
        <w:ind w:left="540" w:firstLine="720"/>
        <w:jc w:val="both"/>
        <w:rPr>
          <w:lang w:val="en-US"/>
        </w:rPr>
      </w:pPr>
      <w:r w:rsidRPr="007D2379">
        <w:rPr>
          <w:rFonts w:ascii="Times New Roman" w:hAnsi="Times New Roman" w:cs="Times New Roman"/>
          <w:sz w:val="24"/>
          <w:szCs w:val="24"/>
        </w:rPr>
        <w:t xml:space="preserve">Al-Quran dan Hadits jelas melarang konsumsi khamr karena efek memabukkan yang dapat membahayakan tubuh dan akal. </w:t>
      </w:r>
      <w:r w:rsidR="00D71CA8">
        <w:rPr>
          <w:rFonts w:ascii="Times New Roman" w:hAnsi="Times New Roman" w:cs="Times New Roman"/>
          <w:sz w:val="24"/>
          <w:szCs w:val="24"/>
        </w:rPr>
        <w:fldChar w:fldCharType="begin" w:fldLock="1"/>
      </w:r>
      <w:r w:rsidR="00D71CA8">
        <w:rPr>
          <w:rFonts w:ascii="Times New Roman" w:hAnsi="Times New Roman" w:cs="Times New Roman"/>
          <w:sz w:val="24"/>
          <w:szCs w:val="24"/>
        </w:rPr>
        <w:instrText>ADDIN CSL_CITATION {"citationItems":[{"id":"ITEM-1","itemData":{"DOI":"10.35931/aq.v3i2.152","ISSN":"1907-4174","abstract":"Kajian ini dengan pembahasan “Implementasi Hudud Dalam Pandangan Ulama Fiqih; Studi Kritis Kitab Fiqih ‘Ala Mazahib al Arba’ah”. Penelitian ini menggunakan library risearch (Studi Pustaka) dengan menggunkan pendekatan deskriptif kualitatif. Penelitian ini mendiskripsikan pandangang para ulama tentang hudud dan mengkajinya; hudud merupakan sanksi (hukuman) yang kadarnya telah ditentukan oleh Allah SWT, tidak ada hak bagi hakim untuk mrngurangi atau menambahnya. Ada beberapa hal yang termasud dalam jinayah hudud diantaranya adalah Zina dan minum khamar. Zina terbagi menjadi dua yaitu zina muhshan hadanya adalah rajam dan ghairu muhshan hadnya adalah jild dan taghrib. Penetapan had zina bisa dilakukan dengan dua cara yaitu: syahadah (persaksian) sebanyak empat orang dan Iqrar (pengakuan) pelaku. Perbutaan yang menyerupai zina seperti, menyewa perempuan untuk berzina sanksinya di kenakanan had zina, melakukan zina dengan mahram sanksinya dalah dibunuh, melakukan perbutan homoseksual sanksinya adalah had, lesbian dan melakukan perzinahan selain zina farji sanksinya adalah ta’zir, melakukan onani dan melakukan zina terhadap binatang sanksinya dalah ta’zir. Khamar bagi peminumnya dikenai had yaitu di dera sebanyak 80 kali, hukumnan ini diputuskan berdasarkan saksi (terdiri dua orang laki-laki) dan pengakuan","author":[{"dropping-particle":"","family":"Khairani","given":"Mibahul","non-dropping-particle":"","parse-names":false,"suffix":""},{"dropping-particle":"","family":"Susanto","given":"Susanto","non-dropping-particle":"","parse-names":false,"suffix":""}],"container-title":"Al Qalam: Jurnal Ilmiah Keagamaan dan Kemasyarakatan","id":"ITEM-1","issue":"2","issued":{"date-parts":[["2019"]]},"page":"163","title":"Implementasi Hudud Dalam Pandangan Ulama Fiqih; Studi Kritis tehadap Kitab Fiqih ‘Ala Mazahib al Arba’ah.","type":"article-journal","volume":"3"},"uris":["http://www.mendeley.com/documents/?uuid=ac18523e-d382-4c24-ab97-47d166075f25"]}],"mendeley":{"formattedCitation":"(Khairani &amp; Susanto, 2019)","plainTextFormattedCitation":"(Khairani &amp; Susanto, 2019)","previouslyFormattedCitation":"(Khairani &amp; Susanto, 2019)"},"properties":{"noteIndex":0},"schema":"https://github.com/citation-style-language/schema/raw/master/csl-citation.json"}</w:instrText>
      </w:r>
      <w:r w:rsidR="00D71CA8">
        <w:rPr>
          <w:rFonts w:ascii="Times New Roman" w:hAnsi="Times New Roman" w:cs="Times New Roman"/>
          <w:sz w:val="24"/>
          <w:szCs w:val="24"/>
        </w:rPr>
        <w:fldChar w:fldCharType="separate"/>
      </w:r>
      <w:r w:rsidR="00D71CA8" w:rsidRPr="00D71CA8">
        <w:rPr>
          <w:rFonts w:ascii="Times New Roman" w:hAnsi="Times New Roman" w:cs="Times New Roman"/>
          <w:noProof/>
          <w:sz w:val="24"/>
          <w:szCs w:val="24"/>
        </w:rPr>
        <w:t>(Khairani &amp; Susanto, 2019)</w:t>
      </w:r>
      <w:r w:rsidR="00D71CA8">
        <w:rPr>
          <w:rFonts w:ascii="Times New Roman" w:hAnsi="Times New Roman" w:cs="Times New Roman"/>
          <w:sz w:val="24"/>
          <w:szCs w:val="24"/>
        </w:rPr>
        <w:fldChar w:fldCharType="end"/>
      </w:r>
      <w:r w:rsidRPr="007D2379">
        <w:rPr>
          <w:rFonts w:ascii="Times New Roman" w:hAnsi="Times New Roman" w:cs="Times New Roman"/>
          <w:sz w:val="24"/>
          <w:szCs w:val="24"/>
        </w:rPr>
        <w:t>. Dalam hal ini, narkotika sering kali dianggap memiliki efek yang bahkan lebih merusak dibandingkan alkohol, dan ini sejalan dengan pandangan bahwa dosa besar dalam Islam terkait dengan segala sesuatu yang membahayakan kesehatan dan akal</w:t>
      </w:r>
      <w:r w:rsidR="0045394B">
        <w:rPr>
          <w:rFonts w:ascii="Times New Roman" w:hAnsi="Times New Roman" w:cs="Times New Roman"/>
          <w:sz w:val="24"/>
          <w:szCs w:val="24"/>
        </w:rPr>
        <w:fldChar w:fldCharType="begin" w:fldLock="1"/>
      </w:r>
      <w:r w:rsidR="005C6806">
        <w:rPr>
          <w:rFonts w:ascii="Times New Roman" w:hAnsi="Times New Roman" w:cs="Times New Roman"/>
          <w:sz w:val="24"/>
          <w:szCs w:val="24"/>
        </w:rPr>
        <w:instrText>ADDIN CSL_CITATION {"citationItems":[{"id":"ITEM-1","itemData":{"ISSN":"2541-7185","abstract":"Hukum Pidana merupakan hukum publik yang digunakan untuk membatasi tingkah laku manusia menjaga ketertiban umum. Penegakanya dilakukan oleh pemerintah dan pihak-pihak yang berwenang yang di atur oleh peraturan perundang-undangan. Teori Pertanggungjawaban Pidana merupakan teori terpenting dalam ilmu hukum pidana karena dalam menerapkan ilmu hukum pidana tidak akan terlepas dari teori pertanggungjawaban pidana maka daripada itu penulis mengangkat pertanggungjawaban pidana dalam suatu kerangka teoritis. Metode yang digunakan penulis adalah yuridis normative , menggunakan litaratur dari kepustakaan dan penilitian qualitative. Pertanggung jawaban dalam hukum pidana dapat diartikan sebagai pertanggungjawaban pidana, dalam Bahasa belanda torekenbaarheid, dalam Bahasa inggris criminal responsibility atau criminalliability. Pertanggungjawaban pidana adalah mengenakan hukuman terhadap pembuat karena perbuatan yang melanggar larangan atau menimbulkan keadaan yang terlarang. Pertanggungjawaban pidana karenanya menyangkut proses peralihan hukuman yang ada pada tindak pidana kepada pembuatnya. Syarat pertanggungjawaban pidana ada tiga yaitu : dolus (dengan sengaja) melakukan tindak pidana, culpa(lalai) sehingga dengan kelalaiannya terjadi perbuatan pidana, tidak adanya alas an penghapusan pidana. Dari pembahasan diatas penulis menyimpulkan bahwa pertanggungjawaban pidana merupakan teori yang tepenting dan mendasar dalam keilmuan hukum pidana. Asas yang berkorelasi dalam pertanggungjawaban pidana merupakan asas dasar dari hukum pidana mislanya “tidak dapat dipidana jika tidak ada kesalahan (geen straf zonder should: Actus non factim reum nisi mens sis rea). Kata","author":[{"dropping-particle":"","family":"Fadlian","given":"Aryo","non-dropping-particle":"","parse-names":false,"suffix":""}],"container-title":"Jurnal Hukum Positum","id":"ITEM-1","issue":"2","issued":{"date-parts":[["2020"]]},"page":"10-19","title":"Pertanggungjawaban Pidana Dalam Suatu Kerangka Teoritis","type":"article-journal","volume":"5"},"uris":["http://www.mendeley.com/documents/?uuid=2d1d8bbe-7331-48d2-a9d6-92353f3cc4d6"]}],"mendeley":{"formattedCitation":"(Fadlian, 2020)","plainTextFormattedCitation":"(Fadlian, 2020)","previouslyFormattedCitation":"(Fadlian, 2020)"},"properties":{"noteIndex":0},"schema":"https://github.com/citation-style-language/schema/raw/master/csl-citation.json"}</w:instrText>
      </w:r>
      <w:r w:rsidR="0045394B">
        <w:rPr>
          <w:rFonts w:ascii="Times New Roman" w:hAnsi="Times New Roman" w:cs="Times New Roman"/>
          <w:sz w:val="24"/>
          <w:szCs w:val="24"/>
        </w:rPr>
        <w:fldChar w:fldCharType="separate"/>
      </w:r>
      <w:r w:rsidR="0045394B" w:rsidRPr="0045394B">
        <w:rPr>
          <w:rFonts w:ascii="Times New Roman" w:hAnsi="Times New Roman" w:cs="Times New Roman"/>
          <w:noProof/>
          <w:sz w:val="24"/>
          <w:szCs w:val="24"/>
        </w:rPr>
        <w:t>(Fadlian, 2020)</w:t>
      </w:r>
      <w:r w:rsidR="0045394B">
        <w:rPr>
          <w:rFonts w:ascii="Times New Roman" w:hAnsi="Times New Roman" w:cs="Times New Roman"/>
          <w:sz w:val="24"/>
          <w:szCs w:val="24"/>
        </w:rPr>
        <w:fldChar w:fldCharType="end"/>
      </w:r>
      <w:r w:rsidRPr="007D2379">
        <w:rPr>
          <w:rFonts w:ascii="Times New Roman" w:hAnsi="Times New Roman" w:cs="Times New Roman"/>
          <w:sz w:val="24"/>
          <w:szCs w:val="24"/>
        </w:rPr>
        <w:t>.Walaupun dalam beberapa konteks medis narkotika mungkin memiliki manfaat, seperti pada penggunaan obat-obatan tertentu, secara umum ajaran Islam menekankan risiko besar dan dampak negatif dari konsumsi zat-zat tersebut</w:t>
      </w:r>
      <w:r w:rsidR="00D71CA8">
        <w:rPr>
          <w:rFonts w:ascii="Times New Roman" w:hAnsi="Times New Roman" w:cs="Times New Roman"/>
          <w:sz w:val="24"/>
          <w:szCs w:val="24"/>
        </w:rPr>
        <w:fldChar w:fldCharType="begin" w:fldLock="1"/>
      </w:r>
      <w:r w:rsidR="00D71CA8">
        <w:rPr>
          <w:rFonts w:ascii="Times New Roman" w:hAnsi="Times New Roman" w:cs="Times New Roman"/>
          <w:sz w:val="24"/>
          <w:szCs w:val="24"/>
        </w:rPr>
        <w:instrText>ADDIN CSL_CITATION {"citationItems":[{"id":"ITEM-1","itemData":{"DOI":"10.32507/mizan.v2i1.135","ISSN":"2598-974X","abstract":"Abstract: The conception of Islam in particular concerning criminal law, can basically be taken into consideration as well as input for the development of national laws in the future. Therefore, it would need to be pursued in earnest to provide input to the relevant parties, both government and legislative branches to work together to realize the national criminal law in accordance with the aspirations and expectations of the people.Keywords: Criminal, Islamic and Legal DevelopmentAbstrak: Konsepsi ajaran Islam khususnya yang menyangkut hukum pidana, pada dasarnya dapat dijadikan bahan pertimbangan serta masukan bagi pembinaan hukum nasional di masa yang akan datang. Oleh karena itu kiranya perlu diupayakan secara sungguh-sungguh untuk memberikan masukan kepada para pihak yang terkait, baik instansi pemerintah maupun lembaga perwakilan rakyat untuk bersama-sama mewujudkan hukum pidana nasional yang sesuai dengan aspirasi dan harapan umat.Kata Kunci: Pidana, Keislaman, dan Pembinaan Hukum","author":[{"dropping-particle":"","family":"Farihi","given":"Hamid","non-dropping-particle":"","parse-names":false,"suffix":""}],"container-title":"Mizan: Journal of Islamic Law","id":"ITEM-1","issue":"1","issued":{"date-parts":[["2018"]]},"page":"83-96","title":"Zina, Qadzaf, dan Minuman Keras Dalam Perspektif Hukum Pidana Islam","type":"article-journal","volume":"2"},"uris":["http://www.mendeley.com/documents/?uuid=198981ea-41a8-4c1a-b58b-a4fb7d9fefb1"]}],"mendeley":{"formattedCitation":"(Farihi, 2018)","plainTextFormattedCitation":"(Farihi, 2018)","previouslyFormattedCitation":"(Farihi, 2018)"},"properties":{"noteIndex":0},"schema":"https://github.com/citation-style-language/schema/raw/master/csl-citation.json"}</w:instrText>
      </w:r>
      <w:r w:rsidR="00D71CA8">
        <w:rPr>
          <w:rFonts w:ascii="Times New Roman" w:hAnsi="Times New Roman" w:cs="Times New Roman"/>
          <w:sz w:val="24"/>
          <w:szCs w:val="24"/>
        </w:rPr>
        <w:fldChar w:fldCharType="separate"/>
      </w:r>
      <w:r w:rsidR="00D71CA8" w:rsidRPr="00D71CA8">
        <w:rPr>
          <w:rFonts w:ascii="Times New Roman" w:hAnsi="Times New Roman" w:cs="Times New Roman"/>
          <w:noProof/>
          <w:sz w:val="24"/>
          <w:szCs w:val="24"/>
        </w:rPr>
        <w:t>(Farihi, 2018)</w:t>
      </w:r>
      <w:r w:rsidR="00D71CA8">
        <w:rPr>
          <w:rFonts w:ascii="Times New Roman" w:hAnsi="Times New Roman" w:cs="Times New Roman"/>
          <w:sz w:val="24"/>
          <w:szCs w:val="24"/>
        </w:rPr>
        <w:fldChar w:fldCharType="end"/>
      </w:r>
      <w:r>
        <w:rPr>
          <w:rFonts w:ascii="Times New Roman" w:hAnsi="Times New Roman" w:cs="Times New Roman"/>
          <w:sz w:val="24"/>
          <w:szCs w:val="24"/>
        </w:rPr>
        <w:t>.</w:t>
      </w:r>
      <w:r w:rsidR="003A603F">
        <w:rPr>
          <w:lang w:val="en-US"/>
        </w:rPr>
        <w:t xml:space="preserve"> </w:t>
      </w:r>
    </w:p>
    <w:p w14:paraId="64811D1E" w14:textId="77777777" w:rsidR="001A6D42" w:rsidRDefault="005E2C4D" w:rsidP="005E2C4D">
      <w:pPr>
        <w:pStyle w:val="ListParagraph"/>
        <w:tabs>
          <w:tab w:val="left" w:pos="851"/>
        </w:tabs>
        <w:spacing w:before="240" w:after="0" w:line="360" w:lineRule="auto"/>
        <w:ind w:left="540" w:firstLine="720"/>
        <w:jc w:val="both"/>
        <w:rPr>
          <w:rFonts w:ascii="Times New Roman" w:hAnsi="Times New Roman" w:cs="Times New Roman"/>
          <w:sz w:val="24"/>
          <w:szCs w:val="24"/>
        </w:rPr>
        <w:sectPr w:rsidR="001A6D42">
          <w:footerReference w:type="default" r:id="rId15"/>
          <w:pgSz w:w="11906" w:h="16838"/>
          <w:pgMar w:top="1418" w:right="1418" w:bottom="1418" w:left="1418" w:header="709" w:footer="709" w:gutter="0"/>
          <w:pgNumType w:start="77"/>
          <w:cols w:num="2" w:space="708"/>
          <w:docGrid w:linePitch="360"/>
        </w:sectPr>
      </w:pPr>
      <w:r w:rsidRPr="007D2379">
        <w:rPr>
          <w:rFonts w:ascii="Times New Roman" w:eastAsia="Times New Roman" w:hAnsi="Times New Roman" w:cs="Times New Roman"/>
          <w:sz w:val="24"/>
          <w:szCs w:val="24"/>
          <w:lang w:val="en-US"/>
        </w:rPr>
        <w:t>Beberapa ketentuan dalam Pasal 111, 112, dan 114 Undang-Undang tersebut mengakibatkan individu yang terlibat harus menjalani hukuman pidana.Pasal 112 berbunyi, “</w:t>
      </w:r>
      <w:r w:rsidRPr="007D2379">
        <w:rPr>
          <w:rFonts w:ascii="Times New Roman" w:hAnsi="Times New Roman" w:cs="Times New Roman"/>
          <w:sz w:val="24"/>
          <w:szCs w:val="24"/>
        </w:rPr>
        <w:t xml:space="preserve">Barang siapa tanpa hak atau melawan hukum memiliki, menyimpan, menguasai, atau menyediakan narkotika golongan I bukan tanaman sebagaimana dimaksud dalam Undang-Undang ini, dipidana dengan pidana penjara </w:t>
      </w:r>
    </w:p>
    <w:p w14:paraId="5D5C0133" w14:textId="77777777" w:rsidR="005E2C4D" w:rsidRDefault="005E2C4D" w:rsidP="001A6D42">
      <w:pPr>
        <w:pStyle w:val="ListParagraph"/>
        <w:tabs>
          <w:tab w:val="left" w:pos="851"/>
        </w:tabs>
        <w:spacing w:before="240" w:after="0" w:line="360" w:lineRule="auto"/>
        <w:ind w:left="540"/>
        <w:jc w:val="both"/>
        <w:rPr>
          <w:rFonts w:ascii="Times New Roman" w:eastAsia="Times New Roman" w:hAnsi="Times New Roman" w:cs="Times New Roman"/>
          <w:sz w:val="24"/>
          <w:szCs w:val="24"/>
          <w:lang w:val="en-US"/>
        </w:rPr>
      </w:pPr>
      <w:r w:rsidRPr="007D2379">
        <w:rPr>
          <w:rFonts w:ascii="Times New Roman" w:hAnsi="Times New Roman" w:cs="Times New Roman"/>
          <w:sz w:val="24"/>
          <w:szCs w:val="24"/>
        </w:rPr>
        <w:lastRenderedPageBreak/>
        <w:t>paling singkat 4 (empat) tahun dan paling lama 12 (dua belas) tahun dan pidana denda paling sedikit Rp800.000.000,00 (delapan ratus juta rupiah) dan paling banyak Rp8.000.000.000,00 (delapan miliar rupiah)”.</w:t>
      </w:r>
      <w:r w:rsidR="003A603F">
        <w:rPr>
          <w:rFonts w:ascii="Times New Roman" w:eastAsia="Times New Roman" w:hAnsi="Times New Roman" w:cs="Times New Roman"/>
          <w:sz w:val="24"/>
          <w:szCs w:val="24"/>
          <w:lang w:val="en-US"/>
        </w:rPr>
        <w:t xml:space="preserve"> </w:t>
      </w:r>
      <w:r w:rsidR="00D71CA8">
        <w:rPr>
          <w:rFonts w:ascii="Times New Roman" w:eastAsia="Times New Roman" w:hAnsi="Times New Roman" w:cs="Times New Roman"/>
          <w:sz w:val="24"/>
          <w:szCs w:val="24"/>
          <w:lang w:val="en-US"/>
        </w:rPr>
        <w:fldChar w:fldCharType="begin" w:fldLock="1"/>
      </w:r>
      <w:r w:rsidR="003D1076">
        <w:rPr>
          <w:rFonts w:ascii="Times New Roman" w:eastAsia="Times New Roman" w:hAnsi="Times New Roman" w:cs="Times New Roman"/>
          <w:sz w:val="24"/>
          <w:szCs w:val="24"/>
          <w:lang w:val="en-US"/>
        </w:rPr>
        <w:instrText>ADDIN CSL_CITATION {"citationItems":[{"id":"ITEM-1","itemData":{"DOI":"10.26532/jph.v4i1.1641","ISSN":"2355-0481","abstract":"Article 2 of Law Number 35 Year 2009 on Narcotics mentioned Narcotics Act based on Pancasila and the Constitution of the State of the Republic of Indonesia Year 1945. Subsequently Article 3 letter a mentioned Narcotics Act held based on keadilah. But in his enforcement does not describe the sense of justice. This research is normative juridical, that is method whichdescribes or exposes a fact systematically then its analysis is conducted by juridical by linking between data and facts obtained by analyzing court decision related to criminal sanction to perpetrator of narcotic crime and related with regulation of law applicable. In order to achieve a common perception in the application of narcotic drug abuse for himself by law enforcement officials, it is necessary to reconstruct Law Number 35 Year 2009 on Article 132 Paragraph (1) to be: Experiment or conspiracy to commit narcotic crime and narcotics precursor as referred to in Article 111, Article 115, Article 119, Article 120, Article 121, Article 122, Article 123, Article 124, Article 125, Articles 126, 127, And Article 129, the perpetrator shall be subject to the same imprisonment in accordance with the provisions referred to in those Articles","author":[{"dropping-particle":"","family":"Dahlan","given":"Dahlan","non-dropping-particle":"","parse-names":false,"suffix":""}],"container-title":"Jurnal Pembaharuan Hukum","id":"ITEM-1","issue":"1","issued":{"date-parts":[["2017"]]},"page":"15","title":"Penerapan Pidana Terhadap Penyalah Guna Narkotika Untuk Dirinya Sendiri","type":"article-journal","volume":"4"},"uris":["http://www.mendeley.com/documents/?uuid=2fade58f-8b55-43e8-93bb-a855af1c8c5f"]}],"mendeley":{"formattedCitation":"(Dahlan, 2017)","plainTextFormattedCitation":"(Dahlan, 2017)","previouslyFormattedCitation":"(Dahlan, 2017)"},"properties":{"noteIndex":0},"schema":"https://github.com/citation-style-language/schema/raw/master/csl-citation.json"}</w:instrText>
      </w:r>
      <w:r w:rsidR="00D71CA8">
        <w:rPr>
          <w:rFonts w:ascii="Times New Roman" w:eastAsia="Times New Roman" w:hAnsi="Times New Roman" w:cs="Times New Roman"/>
          <w:sz w:val="24"/>
          <w:szCs w:val="24"/>
          <w:lang w:val="en-US"/>
        </w:rPr>
        <w:fldChar w:fldCharType="separate"/>
      </w:r>
      <w:r w:rsidR="00D71CA8" w:rsidRPr="00D71CA8">
        <w:rPr>
          <w:rFonts w:ascii="Times New Roman" w:eastAsia="Times New Roman" w:hAnsi="Times New Roman" w:cs="Times New Roman"/>
          <w:noProof/>
          <w:sz w:val="24"/>
          <w:szCs w:val="24"/>
          <w:lang w:val="en-US"/>
        </w:rPr>
        <w:t>(Dahlan, 2017)</w:t>
      </w:r>
      <w:r w:rsidR="00D71CA8">
        <w:rPr>
          <w:rFonts w:ascii="Times New Roman" w:eastAsia="Times New Roman" w:hAnsi="Times New Roman" w:cs="Times New Roman"/>
          <w:sz w:val="24"/>
          <w:szCs w:val="24"/>
          <w:lang w:val="en-US"/>
        </w:rPr>
        <w:fldChar w:fldCharType="end"/>
      </w:r>
    </w:p>
    <w:p w14:paraId="2DA6F358" w14:textId="77777777" w:rsidR="009063F5" w:rsidRDefault="00F51516" w:rsidP="005E2C4D">
      <w:pPr>
        <w:pStyle w:val="ListParagraph"/>
        <w:tabs>
          <w:tab w:val="left" w:pos="851"/>
        </w:tabs>
        <w:spacing w:before="240" w:after="0" w:line="360" w:lineRule="auto"/>
        <w:ind w:left="540" w:firstLine="720"/>
        <w:jc w:val="both"/>
        <w:rPr>
          <w:rFonts w:ascii="Times New Roman" w:eastAsia="Times New Roman" w:hAnsi="Times New Roman" w:cs="Times New Roman"/>
          <w:sz w:val="24"/>
          <w:szCs w:val="24"/>
          <w:lang w:val="en-US"/>
        </w:rPr>
      </w:pPr>
      <w:r w:rsidRPr="00F51516">
        <w:rPr>
          <w:rFonts w:ascii="Times New Roman" w:hAnsi="Times New Roman" w:cs="Times New Roman"/>
          <w:sz w:val="24"/>
          <w:szCs w:val="24"/>
        </w:rPr>
        <w:t>Penyalahgunaan narkotika merupakan masalah serius yang perlu mendapat perhatian khusus di Indonesia. Dalam kajian viktimologi, penyalahguna dan pecandu narkotika dipandang sebagai korban dari kejahatan narkotika. Oleh karena itu, mereka seharusnya mendapatkan penanganan rehabilitasi yang tepat, bukan dipenjarakan di lembaga pemasyarakatan</w:t>
      </w:r>
      <w:r>
        <w:t>.</w:t>
      </w:r>
      <w:r w:rsidR="003D1076">
        <w:rPr>
          <w:rFonts w:ascii="Times New Roman" w:hAnsi="Times New Roman" w:cs="Times New Roman"/>
          <w:sz w:val="24"/>
          <w:szCs w:val="24"/>
        </w:rPr>
        <w:fldChar w:fldCharType="begin" w:fldLock="1"/>
      </w:r>
      <w:r w:rsidR="003D1076">
        <w:rPr>
          <w:rFonts w:ascii="Times New Roman" w:hAnsi="Times New Roman" w:cs="Times New Roman"/>
          <w:sz w:val="24"/>
          <w:szCs w:val="24"/>
        </w:rPr>
        <w:instrText>ADDIN CSL_CITATION {"citationItems":[{"id":"ITEM-1","itemData":{"DOI":"10.20961/hpe.v7i1.29178","ISSN":"2338-1051","abstract":"&lt;p&gt;Abstract&lt;br /&gt;This research is aims to assess the judge’s way of thinking in deciding criminal cases in Indonesia. Since the first world of law science has been colored by contemplation of legal thought. One of the most influential streams in the development of the Indonesian legal system is the flow of positivism or analytical positivism or rechtsdogmatiek. This research is normative law research. This research is approaching case and concept while its data collecting technique is done by researching case study and literature study or secondary data only. . If the result of research done by writer with inductive, deductive, analogy, paroductive method is that it can be concluded that judge in Indonesia is a posistivisme adherent. It is proved that judges in Indonesia make decisions only by law. And do not see any other legal eyes. In general criminal cases 55% of Supreme Court judges use Deductive methods and 30% use Analogy, 25% use parduksi and 5% using other methods. And in Special Crimes 80% of judges use deductive, 15% using Analogy and 5% using other methods. Thus, if combined between Special and Criminal Crimes, the Judges in the Supreme Court 70% use deductive and the rest use analogies, deductions and other methods. A&lt;br /&gt;writer concludes that the judge in the Supreme Court in pursuing a criminal case during 2017 embraces a positivist paradigm.&lt;br /&gt;Keywords: Paradigm; Judge; Deciding Criminal Case.&lt;/p&gt;&lt;p&gt;Abstrak&lt;br /&gt;Penelitian ini bertujuan untuk  menilai  cara berpikir  hakim dalam memutuskan perkara-perkara pidana di Indonesia. Sejak dahulu dunia ilmu hukum telah diwarnai oleh kontestasi pemikiran hukum. Salah satu aliran yang sangat berpengaruh dalam perkembangan sistem hukum Indonesia adalah aliran positivisme atau analyticalpositivism atau rechtsdogmatiek. Penelitian ini merupakan penelitian hukum normatif. Penelitian ini melakukan pendekatan kasus dan konsep sedangkan Teknik pengumpulan datanya  dengan dilakukan dengan cara meneliti studi kasus dan studi pustaka  atau data sekunder belaka. .Jika dilihat hasil peneilitian yang dilakukan penulis dengan  metode Induktif, deduktif, analogi, paroduktif  adalah bahwa bisa disimpulkan bahwa hakim di  Indonesia adalah penganut posistivisme. Dengan dibuktikan bahwa hakim di Indonesia melakukan putusan hanya berdasarkan undang-undang. Dan tidak melihat kaca mata hukum lain.  Dalam perkara pidana umum 55% hakim Mahkamah Agung menggunakan metode Deduktif dan 30% menggunakan Analogi, 25% menggu…","author":[{"dropping-particle":"","family":"Jailani Tanjung","given":"Ahmad Kodir","non-dropping-particle":"","parse-names":false,"suffix":""},{"dropping-particle":"","family":"Purwadi","given":"Hari","non-dropping-particle":"","parse-names":false,"suffix":""},{"dropping-particle":"","family":"Hartiwiningsih","given":",","non-dropping-particle":"","parse-names":false,"suffix":""}],"container-title":"Jurnal Hukum dan Pembangunan Ekonomi","id":"ITEM-1","issue":"1","issued":{"date-parts":[["2019"]]},"page":"39","title":"Paradigma Hakim Dalam Memutuskan Perkara Pidana Di Indonesia","type":"article-journal","volume":"7"},"uris":["http://www.mendeley.com/documents/?uuid=37c7a7c4-64e2-46af-a7de-e4fe8421bf3e"]}],"mendeley":{"formattedCitation":"(Jailani Tanjung et al., 2019)","plainTextFormattedCitation":"(Jailani Tanjung et al., 2019)","previouslyFormattedCitation":"(Jailani Tanjung et al., 2019)"},"properties":{"noteIndex":0},"schema":"https://github.com/citation-style-language/schema/raw/master/csl-citation.json"}</w:instrText>
      </w:r>
      <w:r w:rsidR="003D1076">
        <w:rPr>
          <w:rFonts w:ascii="Times New Roman" w:hAnsi="Times New Roman" w:cs="Times New Roman"/>
          <w:sz w:val="24"/>
          <w:szCs w:val="24"/>
        </w:rPr>
        <w:fldChar w:fldCharType="separate"/>
      </w:r>
      <w:r w:rsidR="003D1076" w:rsidRPr="003D1076">
        <w:rPr>
          <w:rFonts w:ascii="Times New Roman" w:hAnsi="Times New Roman" w:cs="Times New Roman"/>
          <w:noProof/>
          <w:sz w:val="24"/>
          <w:szCs w:val="24"/>
        </w:rPr>
        <w:t>(Jailani Tanjung et al., 2019)</w:t>
      </w:r>
      <w:r w:rsidR="003D1076">
        <w:rPr>
          <w:rFonts w:ascii="Times New Roman" w:hAnsi="Times New Roman" w:cs="Times New Roman"/>
          <w:sz w:val="24"/>
          <w:szCs w:val="24"/>
        </w:rPr>
        <w:fldChar w:fldCharType="end"/>
      </w:r>
      <w:r w:rsidR="009063F5" w:rsidRPr="007D2379">
        <w:rPr>
          <w:rFonts w:ascii="Times New Roman" w:hAnsi="Times New Roman" w:cs="Times New Roman"/>
          <w:sz w:val="24"/>
          <w:szCs w:val="24"/>
        </w:rPr>
        <w:t>. Namun dalam putusan Nomor :</w:t>
      </w:r>
      <w:r w:rsidR="009063F5" w:rsidRPr="007D2379">
        <w:rPr>
          <w:rFonts w:ascii="Times New Roman" w:hAnsi="Times New Roman" w:cs="Times New Roman"/>
          <w:sz w:val="24"/>
          <w:szCs w:val="24"/>
          <w:lang w:val="en-US"/>
        </w:rPr>
        <w:t>34/Pid</w:t>
      </w:r>
      <w:r w:rsidR="009063F5" w:rsidRPr="007D2379">
        <w:rPr>
          <w:rFonts w:ascii="Times New Roman" w:hAnsi="Times New Roman" w:cs="Times New Roman"/>
          <w:sz w:val="24"/>
          <w:szCs w:val="24"/>
        </w:rPr>
        <w:t>.Sus/</w:t>
      </w:r>
      <w:r w:rsidR="009063F5" w:rsidRPr="007D2379">
        <w:rPr>
          <w:rFonts w:ascii="Times New Roman" w:hAnsi="Times New Roman" w:cs="Times New Roman"/>
          <w:sz w:val="24"/>
          <w:szCs w:val="24"/>
          <w:lang w:val="en-US"/>
        </w:rPr>
        <w:t>2023/</w:t>
      </w:r>
      <w:r w:rsidR="009063F5" w:rsidRPr="007D2379">
        <w:rPr>
          <w:rFonts w:ascii="Times New Roman" w:hAnsi="Times New Roman" w:cs="Times New Roman"/>
          <w:sz w:val="24"/>
          <w:szCs w:val="24"/>
        </w:rPr>
        <w:t xml:space="preserve">PN. terdapat hal yang bertentangan antara </w:t>
      </w:r>
      <w:r w:rsidR="009063F5" w:rsidRPr="007D2379">
        <w:rPr>
          <w:rFonts w:ascii="Times New Roman" w:hAnsi="Times New Roman" w:cs="Times New Roman"/>
          <w:i/>
          <w:sz w:val="24"/>
          <w:szCs w:val="24"/>
        </w:rPr>
        <w:t>Das sein dan Das Sollen</w:t>
      </w:r>
      <w:r w:rsidR="009063F5" w:rsidRPr="007D2379">
        <w:rPr>
          <w:rFonts w:ascii="Times New Roman" w:hAnsi="Times New Roman" w:cs="Times New Roman"/>
          <w:sz w:val="24"/>
          <w:szCs w:val="24"/>
        </w:rPr>
        <w:t xml:space="preserve"> karna seharusnya sudah selayaknya terdakwa untuk ditetapkan sebagai penyalahguna yang berorientasi   direhabilitasinya terdakwa  karena sudah sesuai de</w:t>
      </w:r>
      <w:r w:rsidR="003D1076">
        <w:rPr>
          <w:rFonts w:ascii="Times New Roman" w:hAnsi="Times New Roman" w:cs="Times New Roman"/>
          <w:sz w:val="24"/>
          <w:szCs w:val="24"/>
        </w:rPr>
        <w:t xml:space="preserve">ngan fakta-fakta yang terungkap </w:t>
      </w:r>
      <w:r w:rsidR="009063F5" w:rsidRPr="007D2379">
        <w:rPr>
          <w:rFonts w:ascii="Times New Roman" w:hAnsi="Times New Roman" w:cs="Times New Roman"/>
          <w:sz w:val="24"/>
          <w:szCs w:val="24"/>
        </w:rPr>
        <w:t>didalam persidangan</w:t>
      </w:r>
      <w:r w:rsidR="003D1076">
        <w:rPr>
          <w:rFonts w:ascii="Times New Roman" w:hAnsi="Times New Roman" w:cs="Times New Roman"/>
          <w:sz w:val="24"/>
          <w:szCs w:val="24"/>
        </w:rPr>
        <w:fldChar w:fldCharType="begin" w:fldLock="1"/>
      </w:r>
      <w:r w:rsidR="007361DD">
        <w:rPr>
          <w:rFonts w:ascii="Times New Roman" w:hAnsi="Times New Roman" w:cs="Times New Roman"/>
          <w:sz w:val="24"/>
          <w:szCs w:val="24"/>
        </w:rPr>
        <w:instrText>ADDIN CSL_CITATION {"citationItems":[{"id":"ITEM-1","itemData":{"ISSN":"2407-6260","abstract":"ABSTRAK    Teknologi pertanian diharapkan dapat membantu petani untuk meningkatkan kesejahteraan. Berbagai teknologi pertanian telah diperkenalkan dan disebarluaskan kepada petani, tetapi sebagian besar petani pedesaan masih dianggap tertinggal dari masyarakat lain. Kajian ini bertujuan  mempelajari kegagalan penyebaran teknologi pertanian dalam mengentaskan kemiskinan di daerah pedesaan. Berdasar kajian ini nantinya diharapkan mampu merumuskan strategi dari asepk sosiologis terkait penyebaran teknologi pertanian. Hasil kajian ini menunjukkan bahwa faktor sosial, ekonomi dan kelembagaan perlu mendapat perhatian lebih dari pembuat kebijakan baik di tingkat nasional dan lokal dalam rangka untuk meningkatkan dampak diseminasi teknologi pertanian dalam peningkatan kesejahteraan petani di daerah pedesaan.         ABSTRACT    Agricultural technology is expected to help farmers to improve welfare. Various agricultural technologies have been introduced and disseminated to farmers, but to some extents, peasants are still considered lag behind other communities. This paper is conducted investigate the failure of agricultural technologies dissemination in alleviating poverty in rural areas. This strudy showssocial, economic and institutional factors that need more attention from policy makers both at national and local levels in orde to improve impact of agricultural technology dissemination in escalating farmers’ welfare in rural areas.","author":[{"dropping-particle":"","family":"Kuntariningsih","given":"Apri","non-dropping-particle":"","parse-names":false,"suffix":""},{"dropping-particle":"","family":"Mariyono","given":"Joko","non-dropping-particle":"","parse-names":false,"suffix":""}],"container-title":"Agriekonomika","id":"ITEM-1","issue":"2","issued":{"date-parts":[["2014"]]},"page":"180-191","title":"Adopsi Teknologi Pertanian Untuk Pembangunan Pedesaan: Sebuah Kajian Sosiologis","type":"article-journal","volume":"3"},"uris":["http://www.mendeley.com/documents/?uuid=f2541f5e-1e67-4adf-a91f-23bd17a1a884"]}],"mendeley":{"formattedCitation":"(Kuntariningsih &amp; Mariyono, 2014)","plainTextFormattedCitation":"(Kuntariningsih &amp; Mariyono, 2014)","previouslyFormattedCitation":"(Kuntariningsih &amp; Mariyono, 2014)"},"properties":{"noteIndex":0},"schema":"https://github.com/citation-style-language/schema/raw/master/csl-citation.json"}</w:instrText>
      </w:r>
      <w:r w:rsidR="003D1076">
        <w:rPr>
          <w:rFonts w:ascii="Times New Roman" w:hAnsi="Times New Roman" w:cs="Times New Roman"/>
          <w:sz w:val="24"/>
          <w:szCs w:val="24"/>
        </w:rPr>
        <w:fldChar w:fldCharType="separate"/>
      </w:r>
      <w:r w:rsidR="003D1076" w:rsidRPr="003D1076">
        <w:rPr>
          <w:rFonts w:ascii="Times New Roman" w:hAnsi="Times New Roman" w:cs="Times New Roman"/>
          <w:noProof/>
          <w:sz w:val="24"/>
          <w:szCs w:val="24"/>
        </w:rPr>
        <w:t>(Kuntariningsih &amp; Mariyono, 2014)</w:t>
      </w:r>
      <w:r w:rsidR="003D1076">
        <w:rPr>
          <w:rFonts w:ascii="Times New Roman" w:hAnsi="Times New Roman" w:cs="Times New Roman"/>
          <w:sz w:val="24"/>
          <w:szCs w:val="24"/>
        </w:rPr>
        <w:fldChar w:fldCharType="end"/>
      </w:r>
      <w:r w:rsidR="003D1076">
        <w:rPr>
          <w:rFonts w:ascii="Times New Roman" w:hAnsi="Times New Roman" w:cs="Times New Roman"/>
          <w:sz w:val="24"/>
          <w:szCs w:val="24"/>
        </w:rPr>
        <w:t>.</w:t>
      </w:r>
    </w:p>
    <w:p w14:paraId="78D24D6F" w14:textId="77777777" w:rsidR="005E2C4D" w:rsidRDefault="00F51516" w:rsidP="00F51516">
      <w:pPr>
        <w:pStyle w:val="ListParagraph"/>
        <w:tabs>
          <w:tab w:val="left" w:pos="851"/>
        </w:tabs>
        <w:spacing w:before="240" w:after="0" w:line="360" w:lineRule="auto"/>
        <w:ind w:left="540" w:firstLine="720"/>
        <w:jc w:val="both"/>
        <w:rPr>
          <w:rFonts w:ascii="Times New Roman" w:hAnsi="Times New Roman" w:cs="Times New Roman"/>
          <w:sz w:val="24"/>
          <w:szCs w:val="24"/>
        </w:rPr>
      </w:pPr>
      <w:r w:rsidRPr="00F51516">
        <w:rPr>
          <w:rFonts w:ascii="Times New Roman" w:hAnsi="Times New Roman" w:cs="Times New Roman"/>
          <w:sz w:val="24"/>
          <w:szCs w:val="24"/>
        </w:rPr>
        <w:t xml:space="preserve">Di wilayah Pengadilan Negeri Ranai, kasus narkoba sering kali </w:t>
      </w:r>
      <w:r w:rsidRPr="00F51516">
        <w:rPr>
          <w:rFonts w:ascii="Times New Roman" w:hAnsi="Times New Roman" w:cs="Times New Roman"/>
          <w:sz w:val="24"/>
          <w:szCs w:val="24"/>
        </w:rPr>
        <w:t>muncul, baik yang melibatkan penyalahguna, bukan penyalahguna, maupun pengedar. Meskipun Ranai, yang terletak di Kepulauan Riau, memiliki wilayah kecil dan jauh dari ibu kota, peredaran narkoba tetap menjadi masalah serius. Hal ini disebabkan oleh adanya oknum-oknum tak bertanggung jawab yang membawa narkoba dan menyalahgunakannya. Situasi ini menunjukkan perlunya penegakan hukum yang lebih tegas dan upaya pencegahan yang lebih efektif untuk mengatasi masalah ini.</w:t>
      </w:r>
      <w:r w:rsidRPr="00F51516">
        <w:rPr>
          <w:rFonts w:ascii="Times New Roman" w:hAnsi="Times New Roman" w:cs="Times New Roman"/>
          <w:sz w:val="24"/>
          <w:szCs w:val="24"/>
          <w:lang w:val="en-US"/>
        </w:rPr>
        <w:t xml:space="preserve"> </w:t>
      </w:r>
      <w:r w:rsidR="003D1076" w:rsidRPr="007D2379">
        <w:rPr>
          <w:rFonts w:ascii="Times New Roman" w:hAnsi="Times New Roman" w:cs="Times New Roman"/>
          <w:sz w:val="24"/>
          <w:szCs w:val="24"/>
        </w:rPr>
        <w:t xml:space="preserve">Di Dalam Islam larangan terhadap konsumsi  narkoba diterapkan secara bertahap melalui penjelasan masalah khamer. </w:t>
      </w:r>
      <w:r w:rsidR="003D1076" w:rsidRPr="007D2379">
        <w:rPr>
          <w:rFonts w:ascii="Times New Roman" w:eastAsia="Times New Roman" w:hAnsi="Times New Roman" w:cs="Times New Roman"/>
          <w:vanish/>
          <w:sz w:val="24"/>
          <w:szCs w:val="24"/>
          <w:lang w:val="en-US"/>
        </w:rPr>
        <w:t>Top of FormBottom of Form</w:t>
      </w:r>
      <w:r w:rsidR="003D1076" w:rsidRPr="007D2379">
        <w:rPr>
          <w:rFonts w:ascii="Times New Roman" w:hAnsi="Times New Roman" w:cs="Times New Roman"/>
          <w:sz w:val="24"/>
          <w:szCs w:val="24"/>
        </w:rPr>
        <w:t>Dalam islam, larangan Tahap pertama adalah memberikan informasi bahwa narkoba memang memilki beberapa manfaat , namun bahayanya jauh lebih besar</w:t>
      </w:r>
      <w:r w:rsidR="003D1076">
        <w:rPr>
          <w:rFonts w:ascii="Times New Roman" w:hAnsi="Times New Roman" w:cs="Times New Roman"/>
          <w:sz w:val="24"/>
          <w:szCs w:val="24"/>
        </w:rPr>
        <w:t>.</w:t>
      </w:r>
    </w:p>
    <w:p w14:paraId="36F18CB1" w14:textId="77777777" w:rsidR="003D1076" w:rsidRPr="007D2379" w:rsidRDefault="003D1076" w:rsidP="00F51516">
      <w:pPr>
        <w:spacing w:after="0" w:line="360" w:lineRule="auto"/>
        <w:ind w:left="180" w:firstLine="720"/>
        <w:jc w:val="both"/>
        <w:rPr>
          <w:rFonts w:ascii="Times New Roman" w:eastAsia="Times New Roman" w:hAnsi="Times New Roman" w:cs="Times New Roman"/>
          <w:sz w:val="24"/>
          <w:szCs w:val="24"/>
          <w:lang w:val="en-US"/>
        </w:rPr>
      </w:pPr>
      <w:r w:rsidRPr="007D2379">
        <w:rPr>
          <w:rFonts w:ascii="Times New Roman" w:eastAsia="Times New Roman" w:hAnsi="Times New Roman" w:cs="Times New Roman"/>
          <w:sz w:val="24"/>
          <w:szCs w:val="24"/>
          <w:lang w:val="en-US"/>
        </w:rPr>
        <w:t>Adapun fenemona dari masalah ini sebagai berikut.</w:t>
      </w:r>
    </w:p>
    <w:p w14:paraId="5DEAA090" w14:textId="77777777" w:rsidR="001A6D42" w:rsidRDefault="003D1076" w:rsidP="00F51516">
      <w:pPr>
        <w:pStyle w:val="BodyText"/>
        <w:numPr>
          <w:ilvl w:val="0"/>
          <w:numId w:val="3"/>
        </w:numPr>
        <w:tabs>
          <w:tab w:val="left" w:pos="1276"/>
          <w:tab w:val="left" w:pos="4111"/>
        </w:tabs>
        <w:spacing w:line="360" w:lineRule="auto"/>
        <w:ind w:left="1260"/>
        <w:jc w:val="both"/>
        <w:sectPr w:rsidR="001A6D42" w:rsidSect="001A6D42">
          <w:footerReference w:type="default" r:id="rId16"/>
          <w:type w:val="continuous"/>
          <w:pgSz w:w="11906" w:h="16838"/>
          <w:pgMar w:top="1418" w:right="1418" w:bottom="1418" w:left="1418" w:header="709" w:footer="709" w:gutter="0"/>
          <w:pgNumType w:start="77"/>
          <w:cols w:num="2" w:space="708"/>
          <w:docGrid w:linePitch="360"/>
        </w:sectPr>
      </w:pPr>
      <w:r w:rsidRPr="007D2379">
        <w:rPr>
          <w:lang w:val="en-US"/>
        </w:rPr>
        <w:t>Terdakwa tidak termasuk dalam penyalahguna dan tidak di rehabilitasi, padahal secara fakta dan teorinya sudah seharusnya dikenakan pasal 127 “</w:t>
      </w:r>
      <w:r w:rsidRPr="007D2379">
        <w:t xml:space="preserve">Mengatur tentang </w:t>
      </w:r>
    </w:p>
    <w:p w14:paraId="6BAF3565" w14:textId="77777777" w:rsidR="003D1076" w:rsidRPr="007D2379" w:rsidRDefault="003D1076" w:rsidP="00F51516">
      <w:pPr>
        <w:pStyle w:val="BodyText"/>
        <w:numPr>
          <w:ilvl w:val="0"/>
          <w:numId w:val="3"/>
        </w:numPr>
        <w:tabs>
          <w:tab w:val="left" w:pos="1276"/>
          <w:tab w:val="left" w:pos="4111"/>
        </w:tabs>
        <w:spacing w:line="360" w:lineRule="auto"/>
        <w:ind w:left="1260"/>
        <w:jc w:val="both"/>
        <w:rPr>
          <w:lang w:val="en-US"/>
        </w:rPr>
      </w:pPr>
      <w:r w:rsidRPr="007D2379">
        <w:lastRenderedPageBreak/>
        <w:t>penyalahgunaan narkotika oleh pengguna narkotika untuk dirinya sendiri, yang dikenakan sanksi pidana penjara atau rehabilitasi medis”</w:t>
      </w:r>
    </w:p>
    <w:p w14:paraId="3BA04E64" w14:textId="77777777" w:rsidR="003D1076" w:rsidRPr="007D2379" w:rsidRDefault="003D1076" w:rsidP="00F51516">
      <w:pPr>
        <w:pStyle w:val="BodyText"/>
        <w:numPr>
          <w:ilvl w:val="0"/>
          <w:numId w:val="3"/>
        </w:numPr>
        <w:tabs>
          <w:tab w:val="left" w:pos="1276"/>
          <w:tab w:val="left" w:pos="4111"/>
        </w:tabs>
        <w:spacing w:line="360" w:lineRule="auto"/>
        <w:ind w:left="1260" w:hanging="450"/>
        <w:jc w:val="both"/>
      </w:pPr>
      <w:r w:rsidRPr="007D2379">
        <w:rPr>
          <w:lang w:val="en-US"/>
        </w:rPr>
        <w:t>Yang seaharusnya terdakwa dikenakan pasal 127 tetapi  pada perkara Nomor :34/Pidsus/2023/PN.Ntn. terdakwa di kenakan pasal 112 “</w:t>
      </w:r>
      <w:r w:rsidRPr="007D2379">
        <w:t>Menyatakan bahwa memiliki, menyimpan, menguasai, atau menyediakan Narkotika Golongan I tanpa hak dapat dipidana penjara paling singkat 4 tahun dan paling lama 12 tahun serta pidana denda”</w:t>
      </w:r>
    </w:p>
    <w:p w14:paraId="0FEC1EFC" w14:textId="77777777" w:rsidR="00F51516" w:rsidRPr="00F51516" w:rsidRDefault="00F51516" w:rsidP="00F51516">
      <w:pPr>
        <w:spacing w:after="0" w:line="360" w:lineRule="auto"/>
        <w:ind w:left="540" w:firstLine="720"/>
        <w:jc w:val="both"/>
        <w:rPr>
          <w:rFonts w:ascii="Times New Roman" w:hAnsi="Times New Roman" w:cs="Times New Roman"/>
          <w:sz w:val="24"/>
          <w:szCs w:val="24"/>
          <w:lang w:val="en-US"/>
        </w:rPr>
      </w:pPr>
      <w:r w:rsidRPr="00F51516">
        <w:rPr>
          <w:rFonts w:ascii="Times New Roman" w:hAnsi="Times New Roman" w:cs="Times New Roman"/>
          <w:sz w:val="24"/>
          <w:szCs w:val="24"/>
        </w:rPr>
        <w:t>Berdasarkan hal tersebut, jika mengacu pada SEMA No. 04 Tahun 2010 dan SEMA No. 3 Tahun 2015, terdakwa seharusnya memenuhi syarat untuk direhabilitasi sesuai dengan Pasal 127 ayat (1) Undang-Undang Nomor 35 Tahun 2009 tentang Narkotika. Namun, terdakwa malah dihukum berdasarkan Pasal 112, dengan vonis penjara selama 4 tahun dan 6 bulan serta denda sebesar Rp. 800.000.000.</w:t>
      </w:r>
    </w:p>
    <w:p w14:paraId="706D560D" w14:textId="77777777" w:rsidR="003D1076" w:rsidRPr="003D1076" w:rsidRDefault="003D1076" w:rsidP="00F51516">
      <w:pPr>
        <w:spacing w:after="0" w:line="360" w:lineRule="auto"/>
        <w:ind w:left="540" w:firstLine="720"/>
        <w:jc w:val="both"/>
        <w:rPr>
          <w:rFonts w:ascii="Times New Roman" w:hAnsi="Times New Roman" w:cs="Times New Roman"/>
          <w:sz w:val="24"/>
          <w:szCs w:val="24"/>
        </w:rPr>
      </w:pPr>
      <w:r w:rsidRPr="0089496C">
        <w:rPr>
          <w:rFonts w:ascii="Times New Roman" w:hAnsi="Times New Roman" w:cs="Times New Roman"/>
          <w:sz w:val="24"/>
          <w:szCs w:val="24"/>
        </w:rPr>
        <w:t xml:space="preserve">Berdasarkan uraian di atas, maka penulis ingin melakukan penelitian lebih lanjut dengan judul </w:t>
      </w:r>
      <w:r>
        <w:rPr>
          <w:rFonts w:ascii="Times New Roman" w:hAnsi="Times New Roman" w:cs="Times New Roman"/>
          <w:sz w:val="24"/>
          <w:szCs w:val="24"/>
        </w:rPr>
        <w:t>Tinjauan</w:t>
      </w:r>
      <w:r w:rsidR="00B7466A">
        <w:rPr>
          <w:rFonts w:ascii="Times New Roman" w:hAnsi="Times New Roman" w:cs="Times New Roman"/>
          <w:sz w:val="24"/>
          <w:szCs w:val="24"/>
        </w:rPr>
        <w:t xml:space="preserve"> Hukum Islam Terhadap Putusan Hakim Pengadilan Negeri Ranai Mengenai Perkara Nomor :34/Pid.Sus/2023/PN.Ntn Tindak Pidana Narkotika Golongan 1 Bukan Bukan Tanaman</w:t>
      </w:r>
      <w:r w:rsidRPr="0089496C">
        <w:rPr>
          <w:rFonts w:ascii="Times New Roman" w:hAnsi="Times New Roman" w:cs="Times New Roman"/>
          <w:sz w:val="24"/>
          <w:szCs w:val="24"/>
        </w:rPr>
        <w:t xml:space="preserve">. Topik yang akan dikaji dalam penelitian ini adalah </w:t>
      </w:r>
      <w:r w:rsidR="00B7466A" w:rsidRPr="007D2379">
        <w:rPr>
          <w:rFonts w:ascii="Times New Roman" w:hAnsi="Times New Roman" w:cs="Times New Roman"/>
          <w:sz w:val="24"/>
          <w:szCs w:val="24"/>
          <w:lang w:val="en-US"/>
        </w:rPr>
        <w:t>Penelitian</w:t>
      </w:r>
      <w:r w:rsidR="00B7466A" w:rsidRPr="007D2379">
        <w:rPr>
          <w:rFonts w:ascii="Times New Roman" w:hAnsi="Times New Roman" w:cs="Times New Roman"/>
          <w:color w:val="FFFFFF" w:themeColor="background1"/>
          <w:sz w:val="24"/>
          <w:szCs w:val="24"/>
          <w:lang w:val="en-US"/>
        </w:rPr>
        <w:t xml:space="preserve">i </w:t>
      </w:r>
      <w:r w:rsidR="00B7466A" w:rsidRPr="007D2379">
        <w:rPr>
          <w:rFonts w:ascii="Times New Roman" w:hAnsi="Times New Roman" w:cs="Times New Roman"/>
          <w:sz w:val="24"/>
          <w:szCs w:val="24"/>
          <w:lang w:val="en-US"/>
        </w:rPr>
        <w:t>ini</w:t>
      </w:r>
      <w:r w:rsidR="00B7466A" w:rsidRPr="007D2379">
        <w:rPr>
          <w:rFonts w:ascii="Times New Roman" w:hAnsi="Times New Roman" w:cs="Times New Roman"/>
          <w:color w:val="FFFFFF" w:themeColor="background1"/>
          <w:sz w:val="24"/>
          <w:szCs w:val="24"/>
          <w:lang w:val="en-US"/>
        </w:rPr>
        <w:t xml:space="preserve">i </w:t>
      </w:r>
      <w:r w:rsidR="00B7466A" w:rsidRPr="007D2379">
        <w:rPr>
          <w:rFonts w:ascii="Times New Roman" w:hAnsi="Times New Roman" w:cs="Times New Roman"/>
          <w:sz w:val="24"/>
          <w:szCs w:val="24"/>
          <w:lang w:val="en-US"/>
        </w:rPr>
        <w:t>membahas</w:t>
      </w:r>
      <w:r w:rsidR="00B7466A" w:rsidRPr="007D2379">
        <w:rPr>
          <w:rFonts w:ascii="Times New Roman" w:hAnsi="Times New Roman" w:cs="Times New Roman"/>
          <w:color w:val="FFFFFF" w:themeColor="background1"/>
          <w:sz w:val="24"/>
          <w:szCs w:val="24"/>
          <w:lang w:val="en-US"/>
        </w:rPr>
        <w:t xml:space="preserve">i </w:t>
      </w:r>
      <w:r w:rsidR="00B7466A" w:rsidRPr="007D2379">
        <w:rPr>
          <w:rFonts w:ascii="Times New Roman" w:hAnsi="Times New Roman" w:cs="Times New Roman"/>
          <w:sz w:val="24"/>
          <w:szCs w:val="24"/>
          <w:lang w:val="en-US"/>
        </w:rPr>
        <w:t>yang</w:t>
      </w:r>
      <w:r w:rsidR="00B7466A" w:rsidRPr="007D2379">
        <w:rPr>
          <w:rFonts w:ascii="Times New Roman" w:hAnsi="Times New Roman" w:cs="Times New Roman"/>
          <w:color w:val="FFFFFF" w:themeColor="background1"/>
          <w:sz w:val="24"/>
          <w:szCs w:val="24"/>
          <w:lang w:val="en-US"/>
        </w:rPr>
        <w:t xml:space="preserve">i </w:t>
      </w:r>
      <w:r w:rsidR="00B7466A" w:rsidRPr="007D2379">
        <w:rPr>
          <w:rFonts w:ascii="Times New Roman" w:hAnsi="Times New Roman" w:cs="Times New Roman"/>
          <w:sz w:val="24"/>
          <w:szCs w:val="24"/>
          <w:lang w:val="en-US"/>
        </w:rPr>
        <w:t>berkaitan</w:t>
      </w:r>
      <w:r w:rsidR="00B7466A" w:rsidRPr="007D2379">
        <w:rPr>
          <w:rFonts w:ascii="Times New Roman" w:hAnsi="Times New Roman" w:cs="Times New Roman"/>
          <w:color w:val="FFFFFF" w:themeColor="background1"/>
          <w:sz w:val="24"/>
          <w:szCs w:val="24"/>
          <w:lang w:val="en-US"/>
        </w:rPr>
        <w:t xml:space="preserve">i </w:t>
      </w:r>
      <w:r w:rsidR="00B7466A" w:rsidRPr="007D2379">
        <w:rPr>
          <w:rFonts w:ascii="Times New Roman" w:hAnsi="Times New Roman" w:cs="Times New Roman"/>
          <w:sz w:val="24"/>
          <w:szCs w:val="24"/>
          <w:lang w:val="en-US"/>
        </w:rPr>
        <w:t>dengan</w:t>
      </w:r>
      <w:r w:rsidR="00B7466A" w:rsidRPr="007D2379">
        <w:rPr>
          <w:rFonts w:ascii="Times New Roman" w:hAnsi="Times New Roman" w:cs="Times New Roman"/>
          <w:color w:val="FFFFFF" w:themeColor="background1"/>
          <w:sz w:val="24"/>
          <w:szCs w:val="24"/>
          <w:lang w:val="en-US"/>
        </w:rPr>
        <w:t xml:space="preserve">i </w:t>
      </w:r>
      <w:r w:rsidR="00B7466A" w:rsidRPr="007D2379">
        <w:rPr>
          <w:rFonts w:ascii="Times New Roman" w:hAnsi="Times New Roman" w:cs="Times New Roman"/>
          <w:sz w:val="24"/>
          <w:szCs w:val="24"/>
          <w:lang w:val="en-US"/>
        </w:rPr>
        <w:t>t</w:t>
      </w:r>
      <w:r w:rsidR="00B7466A" w:rsidRPr="007D2379">
        <w:rPr>
          <w:rFonts w:ascii="Times New Roman" w:hAnsi="Times New Roman" w:cs="Times New Roman"/>
          <w:sz w:val="24"/>
          <w:szCs w:val="24"/>
        </w:rPr>
        <w:t>indakan putusan dan pertimbangan majelis Hakim dalam memutuskan terdakwa terhadap penyalahgunaan Narkotika pada sidang di Pengadilan Negeri Ranai</w:t>
      </w:r>
      <w:r w:rsidR="00B7466A" w:rsidRPr="007D2379">
        <w:rPr>
          <w:rFonts w:ascii="Times New Roman" w:hAnsi="Times New Roman" w:cs="Times New Roman"/>
          <w:color w:val="FFFFFF" w:themeColor="background1"/>
          <w:sz w:val="24"/>
          <w:szCs w:val="24"/>
        </w:rPr>
        <w:t xml:space="preserve">i </w:t>
      </w:r>
      <w:r w:rsidR="00B7466A" w:rsidRPr="007D2379">
        <w:rPr>
          <w:rFonts w:ascii="Times New Roman" w:hAnsi="Times New Roman" w:cs="Times New Roman"/>
          <w:sz w:val="24"/>
          <w:szCs w:val="24"/>
          <w:lang w:val="en-US"/>
        </w:rPr>
        <w:t>ditinjau</w:t>
      </w:r>
      <w:r w:rsidR="00B7466A" w:rsidRPr="007D2379">
        <w:rPr>
          <w:rFonts w:ascii="Times New Roman" w:hAnsi="Times New Roman" w:cs="Times New Roman"/>
          <w:color w:val="FFFFFF" w:themeColor="background1"/>
          <w:sz w:val="24"/>
          <w:szCs w:val="24"/>
          <w:lang w:val="en-US"/>
        </w:rPr>
        <w:t xml:space="preserve">i </w:t>
      </w:r>
      <w:r w:rsidR="00B7466A" w:rsidRPr="007D2379">
        <w:rPr>
          <w:rFonts w:ascii="Times New Roman" w:hAnsi="Times New Roman" w:cs="Times New Roman"/>
          <w:sz w:val="24"/>
          <w:szCs w:val="24"/>
          <w:lang w:val="en-US"/>
        </w:rPr>
        <w:t>dari</w:t>
      </w:r>
      <w:r w:rsidR="00B7466A" w:rsidRPr="007D2379">
        <w:rPr>
          <w:rFonts w:ascii="Times New Roman" w:hAnsi="Times New Roman" w:cs="Times New Roman"/>
          <w:color w:val="FFFFFF" w:themeColor="background1"/>
          <w:sz w:val="24"/>
          <w:szCs w:val="24"/>
          <w:lang w:val="en-US"/>
        </w:rPr>
        <w:t xml:space="preserve">i </w:t>
      </w:r>
      <w:r w:rsidR="00B7466A" w:rsidRPr="007D2379">
        <w:rPr>
          <w:rFonts w:ascii="Times New Roman" w:hAnsi="Times New Roman" w:cs="Times New Roman"/>
          <w:sz w:val="24"/>
          <w:szCs w:val="24"/>
          <w:lang w:val="en-US"/>
        </w:rPr>
        <w:t>persfektif</w:t>
      </w:r>
      <w:r w:rsidR="00B7466A" w:rsidRPr="007D2379">
        <w:rPr>
          <w:rFonts w:ascii="Times New Roman" w:hAnsi="Times New Roman" w:cs="Times New Roman"/>
          <w:color w:val="FFFFFF" w:themeColor="background1"/>
          <w:sz w:val="24"/>
          <w:szCs w:val="24"/>
          <w:lang w:val="en-US"/>
        </w:rPr>
        <w:t xml:space="preserve">i </w:t>
      </w:r>
      <w:r w:rsidR="00B7466A" w:rsidRPr="007D2379">
        <w:rPr>
          <w:rFonts w:ascii="Times New Roman" w:hAnsi="Times New Roman" w:cs="Times New Roman"/>
          <w:sz w:val="24"/>
          <w:szCs w:val="24"/>
          <w:lang w:val="en-US"/>
        </w:rPr>
        <w:t>Hukum</w:t>
      </w:r>
      <w:r w:rsidR="00B7466A" w:rsidRPr="007D2379">
        <w:rPr>
          <w:rFonts w:ascii="Times New Roman" w:hAnsi="Times New Roman" w:cs="Times New Roman"/>
          <w:color w:val="FFFFFF" w:themeColor="background1"/>
          <w:sz w:val="24"/>
          <w:szCs w:val="24"/>
          <w:lang w:val="en-US"/>
        </w:rPr>
        <w:t xml:space="preserve">i </w:t>
      </w:r>
      <w:r w:rsidR="00B7466A" w:rsidRPr="007D2379">
        <w:rPr>
          <w:rFonts w:ascii="Times New Roman" w:hAnsi="Times New Roman" w:cs="Times New Roman"/>
          <w:sz w:val="24"/>
          <w:szCs w:val="24"/>
          <w:lang w:val="en-US"/>
        </w:rPr>
        <w:t>Pidana</w:t>
      </w:r>
      <w:r w:rsidR="00B7466A" w:rsidRPr="007D2379">
        <w:rPr>
          <w:rFonts w:ascii="Times New Roman" w:hAnsi="Times New Roman" w:cs="Times New Roman"/>
          <w:color w:val="FFFFFF" w:themeColor="background1"/>
          <w:sz w:val="24"/>
          <w:szCs w:val="24"/>
          <w:lang w:val="en-US"/>
        </w:rPr>
        <w:t xml:space="preserve">i </w:t>
      </w:r>
      <w:r w:rsidR="00B7466A" w:rsidRPr="007D2379">
        <w:rPr>
          <w:rFonts w:ascii="Times New Roman" w:hAnsi="Times New Roman" w:cs="Times New Roman"/>
          <w:sz w:val="24"/>
          <w:szCs w:val="24"/>
          <w:lang w:val="en-US"/>
        </w:rPr>
        <w:t>Islam</w:t>
      </w:r>
      <w:r w:rsidRPr="0089496C">
        <w:rPr>
          <w:rFonts w:ascii="Times New Roman" w:hAnsi="Times New Roman" w:cs="Times New Roman"/>
          <w:sz w:val="24"/>
          <w:szCs w:val="24"/>
        </w:rPr>
        <w:t xml:space="preserve">, berdasarkan latar belakang masalah tersebut di atas. </w:t>
      </w:r>
      <w:r w:rsidR="00B7466A" w:rsidRPr="007D2379">
        <w:rPr>
          <w:sz w:val="24"/>
          <w:szCs w:val="24"/>
        </w:rPr>
        <w:t>mengetahui Bagaimana pertimbangan m</w:t>
      </w:r>
      <w:r w:rsidR="00B7466A" w:rsidRPr="007D2379">
        <w:rPr>
          <w:sz w:val="24"/>
          <w:szCs w:val="24"/>
          <w:lang w:val="en-US"/>
        </w:rPr>
        <w:t>a</w:t>
      </w:r>
      <w:r w:rsidR="00B7466A" w:rsidRPr="007D2379">
        <w:rPr>
          <w:sz w:val="24"/>
          <w:szCs w:val="24"/>
        </w:rPr>
        <w:t>j</w:t>
      </w:r>
      <w:r w:rsidR="00B7466A" w:rsidRPr="007D2379">
        <w:rPr>
          <w:sz w:val="24"/>
          <w:szCs w:val="24"/>
          <w:lang w:val="en-US"/>
        </w:rPr>
        <w:t>e</w:t>
      </w:r>
      <w:r w:rsidR="00B7466A" w:rsidRPr="007D2379">
        <w:rPr>
          <w:sz w:val="24"/>
          <w:szCs w:val="24"/>
        </w:rPr>
        <w:t>lis</w:t>
      </w:r>
      <w:r w:rsidR="00B7466A" w:rsidRPr="007D2379">
        <w:rPr>
          <w:sz w:val="24"/>
          <w:szCs w:val="24"/>
          <w:lang w:val="en-US"/>
        </w:rPr>
        <w:t xml:space="preserve"> hakim </w:t>
      </w:r>
      <w:r w:rsidR="00B7466A" w:rsidRPr="007D2379">
        <w:rPr>
          <w:sz w:val="24"/>
          <w:szCs w:val="24"/>
        </w:rPr>
        <w:t xml:space="preserve"> dalam menjatuhkan san</w:t>
      </w:r>
      <w:r w:rsidR="00B7466A" w:rsidRPr="007D2379">
        <w:rPr>
          <w:sz w:val="24"/>
          <w:szCs w:val="24"/>
          <w:lang w:val="en-US"/>
        </w:rPr>
        <w:t>gs</w:t>
      </w:r>
      <w:r w:rsidR="00B7466A" w:rsidRPr="007D2379">
        <w:rPr>
          <w:sz w:val="24"/>
          <w:szCs w:val="24"/>
        </w:rPr>
        <w:t>i pidana terhadap putusan perkara nomor</w:t>
      </w:r>
      <w:r w:rsidR="00B7466A" w:rsidRPr="007D2379">
        <w:rPr>
          <w:sz w:val="24"/>
          <w:szCs w:val="24"/>
          <w:lang w:val="en-US"/>
        </w:rPr>
        <w:t xml:space="preserve"> :34/Pid.Sus/2023/PN.Ntn di Tinjau dari Hukum Pidana Islam.</w:t>
      </w:r>
      <w:r w:rsidRPr="0089496C">
        <w:rPr>
          <w:rFonts w:ascii="Times New Roman" w:hAnsi="Times New Roman" w:cs="Times New Roman"/>
          <w:sz w:val="24"/>
          <w:szCs w:val="24"/>
        </w:rPr>
        <w:t>.</w:t>
      </w:r>
    </w:p>
    <w:p w14:paraId="2D8B2CE1" w14:textId="77777777" w:rsidR="00F51516" w:rsidRPr="00F51516" w:rsidRDefault="00467A23" w:rsidP="00F51516">
      <w:pPr>
        <w:pStyle w:val="ListParagraph"/>
        <w:numPr>
          <w:ilvl w:val="0"/>
          <w:numId w:val="1"/>
        </w:numPr>
        <w:spacing w:after="0" w:line="360" w:lineRule="auto"/>
        <w:ind w:left="567" w:hanging="288"/>
        <w:jc w:val="both"/>
        <w:rPr>
          <w:rFonts w:asciiTheme="majorBidi" w:hAnsiTheme="majorBidi" w:cstheme="majorBidi"/>
          <w:b/>
          <w:color w:val="0D0D0D" w:themeColor="text1" w:themeTint="F2"/>
          <w:sz w:val="24"/>
          <w:szCs w:val="24"/>
        </w:rPr>
      </w:pPr>
      <w:r>
        <w:rPr>
          <w:rFonts w:asciiTheme="majorBidi" w:hAnsiTheme="majorBidi" w:cstheme="majorBidi"/>
          <w:b/>
          <w:color w:val="0D0D0D" w:themeColor="text1" w:themeTint="F2"/>
          <w:sz w:val="24"/>
          <w:szCs w:val="24"/>
        </w:rPr>
        <w:t>METODE PENELITIAN</w:t>
      </w:r>
    </w:p>
    <w:p w14:paraId="30EDAC37" w14:textId="77777777" w:rsidR="001A6D42" w:rsidRDefault="00F51516" w:rsidP="006B4F2A">
      <w:pPr>
        <w:pStyle w:val="ListParagraph"/>
        <w:spacing w:after="0" w:line="360" w:lineRule="auto"/>
        <w:ind w:left="567" w:firstLine="153"/>
        <w:jc w:val="both"/>
        <w:rPr>
          <w:rFonts w:ascii="Times New Roman" w:hAnsi="Times New Roman" w:cs="Times New Roman"/>
          <w:sz w:val="24"/>
          <w:szCs w:val="24"/>
        </w:rPr>
        <w:sectPr w:rsidR="001A6D42" w:rsidSect="001A6D42">
          <w:footerReference w:type="default" r:id="rId17"/>
          <w:type w:val="continuous"/>
          <w:pgSz w:w="11906" w:h="16838"/>
          <w:pgMar w:top="1418" w:right="1418" w:bottom="1418" w:left="1418" w:header="709" w:footer="709" w:gutter="0"/>
          <w:pgNumType w:start="77"/>
          <w:cols w:num="2" w:space="708"/>
          <w:docGrid w:linePitch="360"/>
        </w:sectPr>
      </w:pPr>
      <w:r w:rsidRPr="00F51516">
        <w:rPr>
          <w:rFonts w:ascii="Times New Roman" w:hAnsi="Times New Roman" w:cs="Times New Roman"/>
          <w:sz w:val="24"/>
          <w:szCs w:val="24"/>
        </w:rPr>
        <w:t xml:space="preserve">Penelitian ini menggunakan metode hukum normatif dengan pendekatan deskriptif. Lokasi penelitian berada di Pengadilan Negeri Ranai, Bukit Arai, Jalan Batu Sisir, Desa Sungai </w:t>
      </w:r>
    </w:p>
    <w:p w14:paraId="4F458CD4" w14:textId="77777777" w:rsidR="006B4F2A" w:rsidRDefault="00F51516" w:rsidP="001A6D42">
      <w:pPr>
        <w:pStyle w:val="ListParagraph"/>
        <w:spacing w:after="0" w:line="360" w:lineRule="auto"/>
        <w:ind w:left="567"/>
        <w:jc w:val="both"/>
        <w:rPr>
          <w:rFonts w:ascii="Times New Roman" w:hAnsi="Times New Roman" w:cs="Times New Roman"/>
          <w:sz w:val="24"/>
          <w:szCs w:val="24"/>
          <w:lang w:val="en-US"/>
        </w:rPr>
      </w:pPr>
      <w:r w:rsidRPr="00F51516">
        <w:rPr>
          <w:rFonts w:ascii="Times New Roman" w:hAnsi="Times New Roman" w:cs="Times New Roman"/>
          <w:sz w:val="24"/>
          <w:szCs w:val="24"/>
        </w:rPr>
        <w:lastRenderedPageBreak/>
        <w:t>Ulu, Kecamatan Bunguran Timur, Kabupaten Natuna. Bahan hukum primer yang digunakan merupakan sumber utama dalam penelitian ini, sementara bahan hukum sekunder meliputi buku, teori, dan pendapat para ahli yang relevan dengan materi penelitian. Bahan hukum tersier berfungsi memberikan petunjuk tambahan dan mencakup kamus, jurnal, serta artikel yang mendukung analisis.</w:t>
      </w:r>
    </w:p>
    <w:p w14:paraId="3A3879BB" w14:textId="77777777" w:rsidR="00F51516" w:rsidRPr="006B4F2A" w:rsidRDefault="00F51516" w:rsidP="006B4F2A">
      <w:pPr>
        <w:pStyle w:val="ListParagraph"/>
        <w:spacing w:after="0" w:line="360" w:lineRule="auto"/>
        <w:ind w:left="567" w:firstLine="153"/>
        <w:jc w:val="both"/>
        <w:rPr>
          <w:rFonts w:ascii="Times New Roman" w:hAnsi="Times New Roman" w:cs="Times New Roman"/>
          <w:b/>
          <w:color w:val="0D0D0D" w:themeColor="text1" w:themeTint="F2"/>
          <w:sz w:val="24"/>
          <w:szCs w:val="24"/>
        </w:rPr>
      </w:pPr>
      <w:r w:rsidRPr="00F51516">
        <w:rPr>
          <w:rFonts w:ascii="Times New Roman" w:hAnsi="Times New Roman" w:cs="Times New Roman"/>
          <w:sz w:val="24"/>
          <w:szCs w:val="24"/>
        </w:rPr>
        <w:t>Langkah awal dalam penelitian ini adalah mengumpulkan data dari bahan hukum primer, khususnya dokumen berkas putusan pidana Nomor: 34/Pid.Sus/2023/PN.Ntn. Setelah itu, data tersebut dipilah dan dianalisis secara mendalam. Penulis menyajikan hasil analisis dalam bentuk rangkaian kalimat yang jelas dan rinci, kemudian membandingkannya dengan konsep-konsep dalam bahan hukum sekunder, termasuk buku-buku dan teori yang diajukan oleh para ahli.</w:t>
      </w:r>
    </w:p>
    <w:p w14:paraId="23A2D72C" w14:textId="77777777" w:rsidR="004F5FB7" w:rsidRPr="00D774BC" w:rsidRDefault="00467A23" w:rsidP="00D774BC">
      <w:pPr>
        <w:pStyle w:val="ListParagraph"/>
        <w:numPr>
          <w:ilvl w:val="0"/>
          <w:numId w:val="1"/>
        </w:numPr>
        <w:spacing w:after="0" w:line="360" w:lineRule="auto"/>
        <w:jc w:val="both"/>
        <w:rPr>
          <w:rFonts w:asciiTheme="majorBidi" w:hAnsiTheme="majorBidi" w:cstheme="majorBidi"/>
          <w:b/>
          <w:color w:val="0D0D0D" w:themeColor="text1" w:themeTint="F2"/>
          <w:sz w:val="24"/>
          <w:szCs w:val="24"/>
        </w:rPr>
      </w:pPr>
      <w:r w:rsidRPr="00D774BC">
        <w:rPr>
          <w:rFonts w:asciiTheme="majorBidi" w:hAnsiTheme="majorBidi" w:cstheme="majorBidi"/>
          <w:b/>
          <w:color w:val="0D0D0D" w:themeColor="text1" w:themeTint="F2"/>
          <w:sz w:val="24"/>
          <w:szCs w:val="24"/>
        </w:rPr>
        <w:t>PEMBAHASAN</w:t>
      </w:r>
    </w:p>
    <w:p w14:paraId="39257D77" w14:textId="77777777" w:rsidR="007361DD" w:rsidRPr="007361DD" w:rsidRDefault="007361DD" w:rsidP="00DB18EC">
      <w:pPr>
        <w:pStyle w:val="ListParagraph"/>
        <w:numPr>
          <w:ilvl w:val="1"/>
          <w:numId w:val="1"/>
        </w:numPr>
        <w:spacing w:after="0" w:line="360" w:lineRule="auto"/>
        <w:ind w:left="993" w:hanging="284"/>
        <w:jc w:val="both"/>
        <w:rPr>
          <w:rFonts w:asciiTheme="majorBidi" w:hAnsiTheme="majorBidi" w:cstheme="majorBidi"/>
          <w:color w:val="0D0D0D" w:themeColor="text1" w:themeTint="F2"/>
          <w:sz w:val="24"/>
          <w:szCs w:val="24"/>
        </w:rPr>
      </w:pPr>
      <w:r w:rsidRPr="007361DD">
        <w:rPr>
          <w:rFonts w:ascii="Times New Roman" w:hAnsi="Times New Roman" w:cs="Times New Roman"/>
          <w:b/>
          <w:sz w:val="24"/>
          <w:szCs w:val="24"/>
          <w:lang w:val="en-US"/>
        </w:rPr>
        <w:t>Pr</w:t>
      </w:r>
      <w:r w:rsidR="006B4F2A">
        <w:rPr>
          <w:rFonts w:ascii="Times New Roman" w:hAnsi="Times New Roman" w:cs="Times New Roman"/>
          <w:b/>
          <w:sz w:val="24"/>
          <w:szCs w:val="24"/>
        </w:rPr>
        <w:t>oses</w:t>
      </w:r>
      <w:r w:rsidR="006B4F2A">
        <w:rPr>
          <w:rFonts w:ascii="Times New Roman" w:hAnsi="Times New Roman" w:cs="Times New Roman"/>
          <w:b/>
          <w:sz w:val="24"/>
          <w:szCs w:val="24"/>
          <w:lang w:val="en-US"/>
        </w:rPr>
        <w:t xml:space="preserve"> </w:t>
      </w:r>
      <w:r w:rsidR="006B4F2A">
        <w:rPr>
          <w:rFonts w:ascii="Times New Roman" w:hAnsi="Times New Roman" w:cs="Times New Roman"/>
          <w:b/>
          <w:sz w:val="24"/>
          <w:szCs w:val="24"/>
        </w:rPr>
        <w:t>pembuktian</w:t>
      </w:r>
      <w:r w:rsidR="006B4F2A">
        <w:rPr>
          <w:rFonts w:ascii="Times New Roman" w:hAnsi="Times New Roman" w:cs="Times New Roman"/>
          <w:b/>
          <w:sz w:val="24"/>
          <w:szCs w:val="24"/>
          <w:lang w:val="en-US"/>
        </w:rPr>
        <w:t xml:space="preserve"> </w:t>
      </w:r>
      <w:r w:rsidRPr="007361DD">
        <w:rPr>
          <w:rFonts w:ascii="Times New Roman" w:hAnsi="Times New Roman" w:cs="Times New Roman"/>
          <w:b/>
          <w:sz w:val="24"/>
          <w:szCs w:val="24"/>
        </w:rPr>
        <w:t xml:space="preserve">berdasarkan perkara Nomor : </w:t>
      </w:r>
      <w:r w:rsidRPr="007361DD">
        <w:rPr>
          <w:rFonts w:ascii="Times New Roman" w:hAnsi="Times New Roman" w:cs="Times New Roman"/>
          <w:b/>
          <w:sz w:val="24"/>
          <w:szCs w:val="24"/>
          <w:lang w:val="en-US"/>
        </w:rPr>
        <w:t>34/Pid.Sus/2023/PN.Ntn dari tinjauan hukum islam</w:t>
      </w:r>
    </w:p>
    <w:p w14:paraId="6E4B06D5" w14:textId="77777777" w:rsidR="006B4F2A" w:rsidRPr="006B4F2A" w:rsidRDefault="006B4F2A" w:rsidP="006B4F2A">
      <w:pPr>
        <w:pStyle w:val="ListParagraph"/>
        <w:spacing w:after="0" w:line="360" w:lineRule="auto"/>
        <w:ind w:left="993" w:firstLine="567"/>
        <w:jc w:val="both"/>
        <w:rPr>
          <w:rFonts w:ascii="Times New Roman" w:hAnsi="Times New Roman" w:cs="Times New Roman"/>
          <w:sz w:val="24"/>
          <w:szCs w:val="24"/>
          <w:lang w:val="en-US"/>
        </w:rPr>
      </w:pPr>
      <w:r w:rsidRPr="006B4F2A">
        <w:rPr>
          <w:rFonts w:ascii="Times New Roman" w:hAnsi="Times New Roman" w:cs="Times New Roman"/>
          <w:sz w:val="24"/>
          <w:szCs w:val="24"/>
        </w:rPr>
        <w:t>Dalam menjatuhkan putusan, hakim akan menilai semua alat bukti yang sah untuk membangun keyakinannya, dengan mempertimbangkan apakah unsur-unsur kejahatan yang didakwakan telah terbukti. Hakim juga menetapkan jenis pidana yang pantas diberikan sesuai dengan perbuatan terdakwa. Pembuktian dalam perkara pidana, baik dalam konteks hukum positif maupun hukum Islam, merupakan aspek yang sangat penting. Melalui proses pembuktian, seorang terdakwa dapat dinyatakan telah melakukan perbuatan melawan hukum, dan di sinilah ditentukan pula apakah seseora</w:t>
      </w:r>
      <w:r>
        <w:rPr>
          <w:rFonts w:ascii="Times New Roman" w:hAnsi="Times New Roman" w:cs="Times New Roman"/>
          <w:sz w:val="24"/>
          <w:szCs w:val="24"/>
        </w:rPr>
        <w:t>ng dapat mempertanggungjawabkan</w:t>
      </w:r>
      <w:r>
        <w:rPr>
          <w:rFonts w:ascii="Times New Roman" w:hAnsi="Times New Roman" w:cs="Times New Roman"/>
          <w:sz w:val="24"/>
          <w:szCs w:val="24"/>
          <w:lang w:val="en-US"/>
        </w:rPr>
        <w:t xml:space="preserve"> </w:t>
      </w:r>
      <w:r w:rsidRPr="006B4F2A">
        <w:rPr>
          <w:rFonts w:ascii="Times New Roman" w:hAnsi="Times New Roman" w:cs="Times New Roman"/>
          <w:sz w:val="24"/>
          <w:szCs w:val="24"/>
        </w:rPr>
        <w:t>perbuatannya yang melanggar hukum</w:t>
      </w:r>
      <w:r>
        <w:rPr>
          <w:rFonts w:ascii="Times New Roman" w:hAnsi="Times New Roman" w:cs="Times New Roman"/>
          <w:sz w:val="24"/>
          <w:szCs w:val="24"/>
          <w:lang w:val="en-US"/>
        </w:rPr>
        <w:t>.</w:t>
      </w:r>
    </w:p>
    <w:p w14:paraId="5A6C9DE9" w14:textId="77777777" w:rsidR="001A6D42" w:rsidRDefault="00DB18EC" w:rsidP="00DB18EC">
      <w:pPr>
        <w:pStyle w:val="ListParagraph"/>
        <w:spacing w:after="0" w:line="360" w:lineRule="auto"/>
        <w:ind w:left="993" w:firstLine="567"/>
        <w:jc w:val="both"/>
        <w:rPr>
          <w:rFonts w:ascii="Times New Roman" w:hAnsi="Times New Roman" w:cs="Times New Roman"/>
          <w:sz w:val="24"/>
          <w:szCs w:val="24"/>
        </w:rPr>
        <w:sectPr w:rsidR="001A6D42" w:rsidSect="001A6D42">
          <w:footerReference w:type="default" r:id="rId18"/>
          <w:type w:val="continuous"/>
          <w:pgSz w:w="11906" w:h="16838"/>
          <w:pgMar w:top="1418" w:right="1418" w:bottom="1418" w:left="1418" w:header="709" w:footer="709" w:gutter="0"/>
          <w:pgNumType w:start="77"/>
          <w:cols w:num="2" w:space="708"/>
          <w:docGrid w:linePitch="360"/>
        </w:sectPr>
      </w:pPr>
      <w:r w:rsidRPr="007D2379">
        <w:rPr>
          <w:rFonts w:ascii="Times New Roman" w:hAnsi="Times New Roman" w:cs="Times New Roman"/>
          <w:sz w:val="24"/>
          <w:szCs w:val="24"/>
        </w:rPr>
        <w:t xml:space="preserve">Perbuatan terdakwa didakwa dengan menggunakan dakwaan dalam bentuk alternatif yaitu Tentang Narkotika telah terpenuhi secara sah menurut hukum oleh karena alat bukti-alat bukti sudah sesuai dengan </w:t>
      </w:r>
      <w:r w:rsidRPr="007D2379">
        <w:rPr>
          <w:rFonts w:ascii="Times New Roman" w:hAnsi="Times New Roman" w:cs="Times New Roman"/>
          <w:sz w:val="24"/>
          <w:szCs w:val="24"/>
          <w:lang w:val="en-US"/>
        </w:rPr>
        <w:t xml:space="preserve">hukum islam </w:t>
      </w:r>
      <w:r w:rsidRPr="007D2379">
        <w:rPr>
          <w:rFonts w:ascii="Times New Roman" w:hAnsi="Times New Roman" w:cs="Times New Roman"/>
          <w:sz w:val="24"/>
          <w:szCs w:val="24"/>
        </w:rPr>
        <w:t xml:space="preserve">, didalam perkara ini terdapat 3 (tiga) alat bukti </w:t>
      </w:r>
    </w:p>
    <w:p w14:paraId="4F5219F5" w14:textId="77777777" w:rsidR="007361DD" w:rsidRDefault="00DB18EC" w:rsidP="001A6D42">
      <w:pPr>
        <w:pStyle w:val="ListParagraph"/>
        <w:spacing w:after="0" w:line="360" w:lineRule="auto"/>
        <w:ind w:left="993"/>
        <w:jc w:val="both"/>
        <w:rPr>
          <w:rFonts w:ascii="Times New Roman" w:hAnsi="Times New Roman" w:cs="Times New Roman"/>
          <w:sz w:val="24"/>
          <w:szCs w:val="24"/>
        </w:rPr>
      </w:pPr>
      <w:r w:rsidRPr="007D2379">
        <w:rPr>
          <w:rFonts w:ascii="Times New Roman" w:hAnsi="Times New Roman" w:cs="Times New Roman"/>
          <w:sz w:val="24"/>
          <w:szCs w:val="24"/>
        </w:rPr>
        <w:lastRenderedPageBreak/>
        <w:t>yaitu keterangan saksi, surat, keterangan terdakwa dan juga dari alat bukti-alat bukti yang diajukan penuntut umum telah memenuhi asas minimal pembuktian yang tercantum didalam pasal 183 KUHAP. Proses pembuktian didalam perkara ini sudah tepat namun alangkah sebaiknya penuntut umum menggunakan mendakwa terdakwa dengan pasal 127 ayat (1) Undang-undang RI Nomor 35 Tahun 2009 Tentang Narkotika karena terdakwa dapat dikatakatan sebagai penyalahguna dan pecandu narkotika.</w:t>
      </w:r>
    </w:p>
    <w:p w14:paraId="1BBA9A28" w14:textId="77777777" w:rsidR="006B4F2A" w:rsidRDefault="00DB18EC" w:rsidP="006B4F2A">
      <w:pPr>
        <w:pStyle w:val="ListParagraph"/>
        <w:numPr>
          <w:ilvl w:val="0"/>
          <w:numId w:val="6"/>
        </w:numPr>
        <w:tabs>
          <w:tab w:val="left" w:pos="1350"/>
        </w:tabs>
        <w:spacing w:line="360" w:lineRule="auto"/>
        <w:ind w:left="993"/>
        <w:jc w:val="both"/>
        <w:rPr>
          <w:rFonts w:ascii="Times New Roman" w:hAnsi="Times New Roman" w:cs="Times New Roman"/>
          <w:b/>
          <w:sz w:val="24"/>
          <w:szCs w:val="24"/>
          <w:lang w:val="en-US"/>
        </w:rPr>
      </w:pPr>
      <w:r w:rsidRPr="00DB18EC">
        <w:rPr>
          <w:rFonts w:ascii="Times New Roman" w:hAnsi="Times New Roman" w:cs="Times New Roman"/>
          <w:b/>
          <w:sz w:val="24"/>
          <w:szCs w:val="24"/>
        </w:rPr>
        <w:t>Pertimbangan m</w:t>
      </w:r>
      <w:r w:rsidRPr="00DB18EC">
        <w:rPr>
          <w:rFonts w:ascii="Times New Roman" w:hAnsi="Times New Roman" w:cs="Times New Roman"/>
          <w:b/>
          <w:sz w:val="24"/>
          <w:szCs w:val="24"/>
          <w:lang w:val="en-US"/>
        </w:rPr>
        <w:t>a</w:t>
      </w:r>
      <w:r w:rsidRPr="00DB18EC">
        <w:rPr>
          <w:rFonts w:ascii="Times New Roman" w:hAnsi="Times New Roman" w:cs="Times New Roman"/>
          <w:b/>
          <w:sz w:val="24"/>
          <w:szCs w:val="24"/>
        </w:rPr>
        <w:t>j</w:t>
      </w:r>
      <w:r w:rsidRPr="00DB18EC">
        <w:rPr>
          <w:rFonts w:ascii="Times New Roman" w:hAnsi="Times New Roman" w:cs="Times New Roman"/>
          <w:b/>
          <w:sz w:val="24"/>
          <w:szCs w:val="24"/>
          <w:lang w:val="en-US"/>
        </w:rPr>
        <w:t>e</w:t>
      </w:r>
      <w:r w:rsidRPr="00DB18EC">
        <w:rPr>
          <w:rFonts w:ascii="Times New Roman" w:hAnsi="Times New Roman" w:cs="Times New Roman"/>
          <w:b/>
          <w:sz w:val="24"/>
          <w:szCs w:val="24"/>
        </w:rPr>
        <w:t>lis</w:t>
      </w:r>
      <w:r w:rsidRPr="00DB18EC">
        <w:rPr>
          <w:rFonts w:ascii="Times New Roman" w:hAnsi="Times New Roman" w:cs="Times New Roman"/>
          <w:b/>
          <w:sz w:val="24"/>
          <w:szCs w:val="24"/>
          <w:lang w:val="en-US"/>
        </w:rPr>
        <w:t xml:space="preserve"> hakim </w:t>
      </w:r>
      <w:r w:rsidRPr="00DB18EC">
        <w:rPr>
          <w:rFonts w:ascii="Times New Roman" w:hAnsi="Times New Roman" w:cs="Times New Roman"/>
          <w:b/>
          <w:sz w:val="24"/>
          <w:szCs w:val="24"/>
        </w:rPr>
        <w:t>menjatuhkan san</w:t>
      </w:r>
      <w:r w:rsidRPr="00DB18EC">
        <w:rPr>
          <w:rFonts w:ascii="Times New Roman" w:hAnsi="Times New Roman" w:cs="Times New Roman"/>
          <w:b/>
          <w:sz w:val="24"/>
          <w:szCs w:val="24"/>
          <w:lang w:val="en-US"/>
        </w:rPr>
        <w:t>gs</w:t>
      </w:r>
      <w:r w:rsidRPr="00DB18EC">
        <w:rPr>
          <w:rFonts w:ascii="Times New Roman" w:hAnsi="Times New Roman" w:cs="Times New Roman"/>
          <w:b/>
          <w:sz w:val="24"/>
          <w:szCs w:val="24"/>
        </w:rPr>
        <w:t>i pidana dalam Tinjauan Hukum Islam terhadap putusan perkara nomor</w:t>
      </w:r>
      <w:r w:rsidRPr="00DB18EC">
        <w:rPr>
          <w:rFonts w:ascii="Times New Roman" w:hAnsi="Times New Roman" w:cs="Times New Roman"/>
          <w:b/>
          <w:sz w:val="24"/>
          <w:szCs w:val="24"/>
          <w:lang w:val="en-US"/>
        </w:rPr>
        <w:t xml:space="preserve"> :34/Pid.Sus/2023/PN.Ntn.</w:t>
      </w:r>
    </w:p>
    <w:p w14:paraId="60B8B550" w14:textId="77777777" w:rsidR="006B4F2A" w:rsidRPr="006B4F2A" w:rsidRDefault="006B4F2A" w:rsidP="006B4F2A">
      <w:pPr>
        <w:pStyle w:val="ListParagraph"/>
        <w:tabs>
          <w:tab w:val="left" w:pos="1350"/>
        </w:tabs>
        <w:spacing w:line="360" w:lineRule="auto"/>
        <w:ind w:left="993"/>
        <w:jc w:val="both"/>
        <w:rPr>
          <w:rFonts w:ascii="Times New Roman" w:hAnsi="Times New Roman" w:cs="Times New Roman"/>
          <w:b/>
          <w:sz w:val="24"/>
          <w:szCs w:val="24"/>
          <w:lang w:val="en-US"/>
        </w:rPr>
      </w:pPr>
      <w:r>
        <w:rPr>
          <w:rFonts w:ascii="Times New Roman" w:hAnsi="Times New Roman" w:cs="Times New Roman"/>
          <w:b/>
          <w:sz w:val="24"/>
          <w:szCs w:val="24"/>
          <w:lang w:val="en-US"/>
        </w:rPr>
        <w:tab/>
      </w:r>
      <w:r w:rsidR="00DB18EC" w:rsidRPr="007D2379">
        <w:rPr>
          <w:rFonts w:ascii="Times New Roman" w:hAnsi="Times New Roman" w:cs="Times New Roman"/>
          <w:sz w:val="24"/>
          <w:szCs w:val="24"/>
        </w:rPr>
        <w:t xml:space="preserve">Dalam Hukum islam ini terdapat beberapa jenis hukum yang bisa di pakai jarimah diantaranya adalah qishas, hudud, dan takzir. Dan yang menjadi dasar hukum islam untuk narkotika ini ulama sepakat menggunakan hukum </w:t>
      </w:r>
      <w:r w:rsidR="00DB18EC" w:rsidRPr="004A163D">
        <w:rPr>
          <w:rFonts w:ascii="Times New Roman" w:hAnsi="Times New Roman" w:cs="Times New Roman"/>
          <w:sz w:val="24"/>
          <w:szCs w:val="24"/>
        </w:rPr>
        <w:t xml:space="preserve">jarimah  ta’zir. Jarimah ta’zir </w:t>
      </w:r>
      <w:r w:rsidRPr="004A163D">
        <w:rPr>
          <w:rFonts w:ascii="Times New Roman" w:hAnsi="Times New Roman" w:cs="Times New Roman"/>
          <w:sz w:val="24"/>
          <w:szCs w:val="24"/>
        </w:rPr>
        <w:t>Secara bahasa, ta'zir berarti memberi contoh dan merujuk pada disiplin ilmu yang belum secara eksplisit ditentukan oleh syar'i, tetapi diserahkan kepada hakim dan penguasa untuk diadili dan dilaksanakan. M. Nurul Irfan menjelaskan bahwa ta'zir adalah hukuman yang diterapkan pada pelanggar, yang terkait dengan nilai-nilai Allah dan kebebasan dasar, namun tidak termasuk dalam kategori hudud atau kaffarat, karena sanksi ini tidak sepenuhnya diatur oleh Al-Qur'an dan Hadits. Pelaksanaan hukuman ta'zir bergantung pada kemampuan hakim dan penguasa, yang harus tetap memperhatikan pesan-pesan yang bermanfaat bagi masyarakat. Ta'zir sebagai jarimah menekankan pentingnya memberi contoh dan mengisi ruang yang belum diatur secara syar'i.</w:t>
      </w:r>
    </w:p>
    <w:p w14:paraId="5B52E89D" w14:textId="77777777" w:rsidR="001A6D42" w:rsidRDefault="006B4F2A" w:rsidP="006B4F2A">
      <w:pPr>
        <w:pStyle w:val="ListParagraph"/>
        <w:spacing w:after="0" w:line="360" w:lineRule="auto"/>
        <w:ind w:left="993" w:firstLine="567"/>
        <w:jc w:val="both"/>
        <w:rPr>
          <w:rFonts w:ascii="Times New Roman" w:hAnsi="Times New Roman" w:cs="Times New Roman"/>
          <w:sz w:val="24"/>
          <w:szCs w:val="24"/>
        </w:rPr>
        <w:sectPr w:rsidR="001A6D42" w:rsidSect="001A6D42">
          <w:footerReference w:type="default" r:id="rId19"/>
          <w:type w:val="continuous"/>
          <w:pgSz w:w="11906" w:h="16838"/>
          <w:pgMar w:top="1418" w:right="1418" w:bottom="1418" w:left="1418" w:header="709" w:footer="709" w:gutter="0"/>
          <w:pgNumType w:start="77"/>
          <w:cols w:num="2" w:space="708"/>
          <w:docGrid w:linePitch="360"/>
        </w:sectPr>
      </w:pPr>
      <w:r>
        <w:rPr>
          <w:rFonts w:ascii="Times New Roman" w:hAnsi="Times New Roman" w:cs="Times New Roman"/>
          <w:sz w:val="24"/>
          <w:szCs w:val="24"/>
        </w:rPr>
        <w:t>Mengacu pada putusan Nomor</w:t>
      </w:r>
      <w:r w:rsidR="00DB18EC" w:rsidRPr="007D2379">
        <w:rPr>
          <w:rFonts w:ascii="Times New Roman" w:hAnsi="Times New Roman" w:cs="Times New Roman"/>
          <w:sz w:val="24"/>
          <w:szCs w:val="24"/>
        </w:rPr>
        <w:t xml:space="preserve">: </w:t>
      </w:r>
      <w:r w:rsidR="00DB18EC" w:rsidRPr="007D2379">
        <w:rPr>
          <w:rFonts w:ascii="Times New Roman" w:hAnsi="Times New Roman" w:cs="Times New Roman"/>
          <w:sz w:val="24"/>
          <w:szCs w:val="24"/>
          <w:lang w:val="en-US"/>
        </w:rPr>
        <w:t>34</w:t>
      </w:r>
      <w:r w:rsidR="00DB18EC" w:rsidRPr="007D2379">
        <w:rPr>
          <w:rFonts w:ascii="Times New Roman" w:hAnsi="Times New Roman" w:cs="Times New Roman"/>
          <w:sz w:val="24"/>
          <w:szCs w:val="24"/>
        </w:rPr>
        <w:t>/Pid.Sus/20</w:t>
      </w:r>
      <w:r w:rsidR="00DB18EC" w:rsidRPr="007D2379">
        <w:rPr>
          <w:rFonts w:ascii="Times New Roman" w:hAnsi="Times New Roman" w:cs="Times New Roman"/>
          <w:sz w:val="24"/>
          <w:szCs w:val="24"/>
          <w:lang w:val="en-US"/>
        </w:rPr>
        <w:t>23</w:t>
      </w:r>
      <w:r w:rsidR="00DB18EC" w:rsidRPr="007D2379">
        <w:rPr>
          <w:rFonts w:ascii="Times New Roman" w:hAnsi="Times New Roman" w:cs="Times New Roman"/>
          <w:sz w:val="24"/>
          <w:szCs w:val="24"/>
        </w:rPr>
        <w:t>/PN.</w:t>
      </w:r>
      <w:r w:rsidR="00DB18EC" w:rsidRPr="007D2379">
        <w:rPr>
          <w:rFonts w:ascii="Times New Roman" w:hAnsi="Times New Roman" w:cs="Times New Roman"/>
          <w:sz w:val="24"/>
          <w:szCs w:val="24"/>
          <w:lang w:val="en-US"/>
        </w:rPr>
        <w:t>Ntn</w:t>
      </w:r>
      <w:r w:rsidR="00DB18EC" w:rsidRPr="007D2379">
        <w:rPr>
          <w:rFonts w:ascii="Times New Roman" w:hAnsi="Times New Roman" w:cs="Times New Roman"/>
          <w:sz w:val="24"/>
          <w:szCs w:val="24"/>
        </w:rPr>
        <w:t xml:space="preserve"> , Penulis mengemukakan bahwa putusan tersebut belum </w:t>
      </w:r>
      <w:r w:rsidR="00DB18EC" w:rsidRPr="007D2379">
        <w:rPr>
          <w:rFonts w:ascii="Times New Roman" w:hAnsi="Times New Roman" w:cs="Times New Roman"/>
          <w:sz w:val="24"/>
          <w:szCs w:val="24"/>
        </w:rPr>
        <w:lastRenderedPageBreak/>
        <w:t xml:space="preserve">mencerminkan rasa keadilan karena majelis hakim dalam </w:t>
      </w:r>
      <w:r w:rsidR="00DB18EC" w:rsidRPr="007D2379">
        <w:rPr>
          <w:rFonts w:ascii="Times New Roman" w:hAnsi="Times New Roman" w:cs="Times New Roman"/>
          <w:sz w:val="24"/>
          <w:szCs w:val="24"/>
        </w:rPr>
        <w:t xml:space="preserve">menerapkan hukum terhadap </w:t>
      </w:r>
    </w:p>
    <w:p w14:paraId="2910B487" w14:textId="77777777" w:rsidR="006B4F2A" w:rsidRDefault="00DB18EC" w:rsidP="001A6D42">
      <w:pPr>
        <w:pStyle w:val="ListParagraph"/>
        <w:spacing w:after="0" w:line="360" w:lineRule="auto"/>
        <w:ind w:left="993"/>
        <w:jc w:val="both"/>
        <w:rPr>
          <w:rFonts w:ascii="Times New Roman" w:hAnsi="Times New Roman" w:cs="Times New Roman"/>
          <w:sz w:val="24"/>
          <w:szCs w:val="24"/>
          <w:lang w:val="en-US"/>
        </w:rPr>
      </w:pPr>
      <w:r w:rsidRPr="007D2379">
        <w:rPr>
          <w:rFonts w:ascii="Times New Roman" w:hAnsi="Times New Roman" w:cs="Times New Roman"/>
          <w:sz w:val="24"/>
          <w:szCs w:val="24"/>
        </w:rPr>
        <w:t xml:space="preserve">terdakwa </w:t>
      </w:r>
      <w:r w:rsidRPr="007D2379">
        <w:rPr>
          <w:rFonts w:ascii="Times New Roman" w:hAnsi="Times New Roman" w:cs="Times New Roman"/>
          <w:sz w:val="24"/>
          <w:szCs w:val="24"/>
          <w:lang w:val="en-US"/>
        </w:rPr>
        <w:t xml:space="preserve">Irwan Setiawan </w:t>
      </w:r>
      <w:r w:rsidRPr="007D2379">
        <w:rPr>
          <w:rFonts w:ascii="Times New Roman" w:hAnsi="Times New Roman" w:cs="Times New Roman"/>
          <w:sz w:val="24"/>
          <w:szCs w:val="24"/>
        </w:rPr>
        <w:t>kurang tepat mengingat melalui fakta-fakta yang terungkap dipersidangan bahwa terdakwa sudah layak dikategorikan sebagai penyalahguna dan pecandu narkotika karena didalam Pasal 103 undang-undang nomor 35 tahun 2009</w:t>
      </w:r>
      <w:r w:rsidRPr="007D2379">
        <w:rPr>
          <w:rFonts w:ascii="Times New Roman" w:hAnsi="Times New Roman" w:cs="Times New Roman"/>
          <w:sz w:val="24"/>
          <w:szCs w:val="24"/>
          <w:lang w:val="en-US"/>
        </w:rPr>
        <w:t xml:space="preserve"> dan pada hukum islam dalam hukum takzir  para ahli fiqh maka hukum bagi pengedar narkoba akan di hukum mati sedangkan bagi pengguna narkoba bisa berupa berbagai bentuk sanksi, denda, kurungan,rehabilitasi, atau kerja social</w:t>
      </w:r>
      <w:r w:rsidR="006B4F2A">
        <w:rPr>
          <w:rFonts w:ascii="Times New Roman" w:hAnsi="Times New Roman" w:cs="Times New Roman"/>
          <w:sz w:val="24"/>
          <w:szCs w:val="24"/>
        </w:rPr>
        <w:t>.</w:t>
      </w:r>
    </w:p>
    <w:p w14:paraId="00EA5931" w14:textId="77777777" w:rsidR="006B4F2A" w:rsidRPr="006B4F2A" w:rsidRDefault="006B4F2A" w:rsidP="006B4F2A">
      <w:pPr>
        <w:pStyle w:val="ListParagraph"/>
        <w:spacing w:after="0" w:line="360" w:lineRule="auto"/>
        <w:ind w:left="993" w:firstLine="567"/>
        <w:jc w:val="both"/>
        <w:rPr>
          <w:rFonts w:ascii="Times New Roman" w:hAnsi="Times New Roman" w:cs="Times New Roman"/>
          <w:sz w:val="24"/>
          <w:szCs w:val="24"/>
          <w:lang w:val="en-US"/>
        </w:rPr>
      </w:pPr>
      <w:r w:rsidRPr="006B4F2A">
        <w:rPr>
          <w:rFonts w:ascii="Times New Roman" w:eastAsia="Times New Roman" w:hAnsi="Times New Roman" w:cs="Times New Roman"/>
          <w:sz w:val="24"/>
          <w:szCs w:val="24"/>
          <w:lang w:val="en-US"/>
        </w:rPr>
        <w:t xml:space="preserve">Penulis berpendapat bahwa hakim dalam memutuskan perkara tindak pidana narkotika seharusnya mempertimbangkan amanat Pasal 54 Undang-Undang Narkotika. Pasal ini menegaskan bahwa pecandu narkotika dan korban penyalahgunaan narkotika wajib menjalani rehabilitasi medis dan rehabilitasi sosial. Hal ini </w:t>
      </w:r>
      <w:r w:rsidRPr="006B4F2A">
        <w:rPr>
          <w:rFonts w:ascii="Times New Roman" w:eastAsia="Times New Roman" w:hAnsi="Times New Roman" w:cs="Times New Roman"/>
          <w:sz w:val="24"/>
          <w:szCs w:val="24"/>
          <w:lang w:val="en-US"/>
        </w:rPr>
        <w:t>penting untuk memastikan bahwa hukuman tidak hanya bersifat penal, tetapi juga mendukung pemulihan dan reintegrasi terdakwa ke dalam masyarakat.</w:t>
      </w:r>
    </w:p>
    <w:p w14:paraId="396C5E7B" w14:textId="77777777" w:rsidR="006B4F2A" w:rsidRPr="006B4F2A" w:rsidRDefault="006B4F2A" w:rsidP="006B4F2A">
      <w:pPr>
        <w:spacing w:after="0" w:line="240" w:lineRule="auto"/>
        <w:rPr>
          <w:rFonts w:ascii="Times New Roman" w:eastAsia="Times New Roman" w:hAnsi="Times New Roman" w:cs="Times New Roman"/>
          <w:sz w:val="24"/>
          <w:szCs w:val="24"/>
          <w:lang w:val="en-US"/>
        </w:rPr>
      </w:pPr>
      <w:r w:rsidRPr="006B4F2A">
        <w:rPr>
          <w:rFonts w:ascii="Times New Roman" w:eastAsia="Times New Roman" w:hAnsi="Times New Roman" w:cs="Times New Roman"/>
          <w:sz w:val="24"/>
          <w:szCs w:val="24"/>
          <w:lang w:val="en-US"/>
        </w:rPr>
        <w:t>4o mini</w:t>
      </w:r>
    </w:p>
    <w:p w14:paraId="0D715893" w14:textId="77777777" w:rsidR="006B4F2A" w:rsidRDefault="00DB18EC" w:rsidP="006B4F2A">
      <w:pPr>
        <w:pStyle w:val="ListParagraph"/>
        <w:spacing w:after="0" w:line="360" w:lineRule="auto"/>
        <w:ind w:left="993" w:firstLine="567"/>
        <w:jc w:val="both"/>
        <w:rPr>
          <w:rFonts w:ascii="Times New Roman" w:hAnsi="Times New Roman" w:cs="Times New Roman"/>
          <w:sz w:val="24"/>
          <w:szCs w:val="24"/>
          <w:lang w:val="en-US"/>
        </w:rPr>
      </w:pPr>
      <w:r w:rsidRPr="007D2379">
        <w:rPr>
          <w:rFonts w:ascii="Times New Roman" w:hAnsi="Times New Roman" w:cs="Times New Roman"/>
          <w:sz w:val="24"/>
          <w:szCs w:val="24"/>
        </w:rPr>
        <w:t>Penulis beralasan oleh karena dari keterangan yang diperoleh oleh terdakwa sendiri bahwa terdakwa telah menggunkan narkotika golongan I jenis shabu-shabu sebanyak 3 (tiga) kali oleh karena itu dapat disimpulkan bahwa terdakwa sebagai pecandu narkotika</w:t>
      </w:r>
      <w:r>
        <w:rPr>
          <w:rFonts w:ascii="Times New Roman" w:hAnsi="Times New Roman" w:cs="Times New Roman"/>
          <w:sz w:val="24"/>
          <w:szCs w:val="24"/>
        </w:rPr>
        <w:t>.</w:t>
      </w:r>
    </w:p>
    <w:p w14:paraId="02CF8A82" w14:textId="77777777" w:rsidR="001A6D42" w:rsidRDefault="006B4F2A" w:rsidP="006B4F2A">
      <w:pPr>
        <w:pStyle w:val="ListParagraph"/>
        <w:spacing w:after="0" w:line="360" w:lineRule="auto"/>
        <w:ind w:left="993" w:firstLine="567"/>
        <w:jc w:val="both"/>
        <w:rPr>
          <w:rFonts w:ascii="Times New Roman" w:eastAsia="Times New Roman" w:hAnsi="Times New Roman" w:cs="Times New Roman"/>
          <w:sz w:val="24"/>
          <w:szCs w:val="24"/>
          <w:lang w:val="en-US"/>
        </w:rPr>
        <w:sectPr w:rsidR="001A6D42" w:rsidSect="001A6D42">
          <w:footerReference w:type="default" r:id="rId20"/>
          <w:type w:val="continuous"/>
          <w:pgSz w:w="11906" w:h="16838"/>
          <w:pgMar w:top="1418" w:right="1418" w:bottom="1418" w:left="1418" w:header="709" w:footer="709" w:gutter="0"/>
          <w:pgNumType w:start="77"/>
          <w:cols w:num="2" w:space="708"/>
          <w:docGrid w:linePitch="360"/>
        </w:sectPr>
      </w:pPr>
      <w:r w:rsidRPr="006B4F2A">
        <w:rPr>
          <w:rFonts w:ascii="Times New Roman" w:eastAsia="Times New Roman" w:hAnsi="Times New Roman" w:cs="Times New Roman"/>
          <w:sz w:val="24"/>
          <w:szCs w:val="24"/>
          <w:lang w:val="en-US"/>
        </w:rPr>
        <w:t>Berdasa</w:t>
      </w:r>
      <w:r>
        <w:rPr>
          <w:rFonts w:ascii="Times New Roman" w:eastAsia="Times New Roman" w:hAnsi="Times New Roman" w:cs="Times New Roman"/>
          <w:sz w:val="24"/>
          <w:szCs w:val="24"/>
          <w:lang w:val="en-US"/>
        </w:rPr>
        <w:t xml:space="preserve">rkan analisis yang disampaikan, </w:t>
      </w:r>
      <w:r w:rsidRPr="006B4F2A">
        <w:rPr>
          <w:rFonts w:ascii="Times New Roman" w:eastAsia="Times New Roman" w:hAnsi="Times New Roman" w:cs="Times New Roman"/>
          <w:sz w:val="24"/>
          <w:szCs w:val="24"/>
          <w:lang w:val="en-US"/>
        </w:rPr>
        <w:t xml:space="preserve">penulis berpendapat bahwa majelis hakim seharusnya memberikan putusan pemidanaan sesuai dengan Pasal 127 ayat (1) Undang-Undang Nomor 35 Tahun 2009 tentang Narkotika. Hakim seharusnya memerintahkan terdakwa untuk menjalani pengobatan dan perawatan sebagai pecandu narkotika, sesuai dengan ketentuan Pasal 103. Paradigma </w:t>
      </w:r>
      <w:r w:rsidRPr="006B4F2A">
        <w:rPr>
          <w:rFonts w:ascii="Times New Roman" w:eastAsia="Times New Roman" w:hAnsi="Times New Roman" w:cs="Times New Roman"/>
          <w:sz w:val="24"/>
          <w:szCs w:val="24"/>
          <w:lang w:val="en-US"/>
        </w:rPr>
        <w:lastRenderedPageBreak/>
        <w:t xml:space="preserve">hakim seharusnya berfokus pada aspek kemanfaatan dalam </w:t>
      </w:r>
      <w:r w:rsidRPr="006B4F2A">
        <w:rPr>
          <w:rFonts w:ascii="Times New Roman" w:eastAsia="Times New Roman" w:hAnsi="Times New Roman" w:cs="Times New Roman"/>
          <w:sz w:val="24"/>
          <w:szCs w:val="24"/>
          <w:lang w:val="en-US"/>
        </w:rPr>
        <w:t xml:space="preserve">pemidanaan, bukan hanya pada kepastian hukum secara absolut, </w:t>
      </w:r>
    </w:p>
    <w:p w14:paraId="505FADB5" w14:textId="77777777" w:rsidR="006B4F2A" w:rsidRPr="006B4F2A" w:rsidRDefault="006B4F2A" w:rsidP="001A6D42">
      <w:pPr>
        <w:pStyle w:val="ListParagraph"/>
        <w:spacing w:after="0" w:line="360" w:lineRule="auto"/>
        <w:ind w:left="993"/>
        <w:jc w:val="both"/>
        <w:rPr>
          <w:rFonts w:ascii="Times New Roman" w:hAnsi="Times New Roman" w:cs="Times New Roman"/>
          <w:sz w:val="24"/>
          <w:szCs w:val="24"/>
          <w:lang w:val="en-US"/>
        </w:rPr>
      </w:pPr>
      <w:r w:rsidRPr="006B4F2A">
        <w:rPr>
          <w:rFonts w:ascii="Times New Roman" w:eastAsia="Times New Roman" w:hAnsi="Times New Roman" w:cs="Times New Roman"/>
          <w:sz w:val="24"/>
          <w:szCs w:val="24"/>
          <w:lang w:val="en-US"/>
        </w:rPr>
        <w:t>agar keadilan dan kemanfaatan dapat tercipta.</w:t>
      </w:r>
    </w:p>
    <w:p w14:paraId="0197DC56" w14:textId="77777777" w:rsidR="006B4F2A" w:rsidRPr="006B4F2A" w:rsidRDefault="006B4F2A" w:rsidP="006B4F2A">
      <w:pPr>
        <w:spacing w:after="0" w:line="240" w:lineRule="auto"/>
        <w:rPr>
          <w:rFonts w:ascii="Times New Roman" w:eastAsia="Times New Roman" w:hAnsi="Times New Roman" w:cs="Times New Roman"/>
          <w:sz w:val="24"/>
          <w:szCs w:val="24"/>
          <w:lang w:val="en-US"/>
        </w:rPr>
      </w:pPr>
      <w:r w:rsidRPr="006B4F2A">
        <w:rPr>
          <w:rFonts w:ascii="Times New Roman" w:eastAsia="Times New Roman" w:hAnsi="Times New Roman" w:cs="Times New Roman"/>
          <w:sz w:val="24"/>
          <w:szCs w:val="24"/>
          <w:lang w:val="en-US"/>
        </w:rPr>
        <w:t>4o mini</w:t>
      </w:r>
    </w:p>
    <w:p w14:paraId="39EC9214" w14:textId="77777777" w:rsidR="006B4F2A" w:rsidRPr="006B4F2A" w:rsidRDefault="006B4F2A" w:rsidP="0045394B">
      <w:pPr>
        <w:pStyle w:val="ListParagraph"/>
        <w:spacing w:after="0" w:line="360" w:lineRule="auto"/>
        <w:ind w:left="993" w:firstLine="567"/>
        <w:jc w:val="both"/>
        <w:rPr>
          <w:rFonts w:ascii="Times New Roman" w:hAnsi="Times New Roman" w:cs="Times New Roman"/>
          <w:sz w:val="24"/>
          <w:szCs w:val="24"/>
          <w:lang w:val="en-US"/>
        </w:rPr>
      </w:pPr>
    </w:p>
    <w:p w14:paraId="43ACE401" w14:textId="77777777" w:rsidR="004F5FB7" w:rsidRDefault="00467A23">
      <w:pPr>
        <w:pStyle w:val="ListParagraph"/>
        <w:numPr>
          <w:ilvl w:val="0"/>
          <w:numId w:val="1"/>
        </w:numPr>
        <w:spacing w:after="0" w:line="36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KESIMPULAN</w:t>
      </w:r>
    </w:p>
    <w:p w14:paraId="5AB3DE64" w14:textId="77777777" w:rsidR="004F5FB7" w:rsidRDefault="0045394B" w:rsidP="0045394B">
      <w:pPr>
        <w:pStyle w:val="ListParagraph"/>
        <w:numPr>
          <w:ilvl w:val="1"/>
          <w:numId w:val="1"/>
        </w:numPr>
        <w:spacing w:after="0" w:line="360" w:lineRule="auto"/>
        <w:ind w:left="993" w:hanging="283"/>
        <w:jc w:val="both"/>
        <w:rPr>
          <w:rFonts w:asciiTheme="majorBidi" w:hAnsiTheme="majorBidi" w:cstheme="majorBidi"/>
          <w:bCs/>
          <w:sz w:val="24"/>
          <w:szCs w:val="24"/>
          <w:lang w:val="en-US"/>
        </w:rPr>
      </w:pPr>
      <w:r w:rsidRPr="0045394B">
        <w:rPr>
          <w:rFonts w:asciiTheme="majorBidi" w:hAnsiTheme="majorBidi" w:cstheme="majorBidi"/>
          <w:bCs/>
          <w:sz w:val="24"/>
          <w:szCs w:val="24"/>
          <w:lang w:val="en-US"/>
        </w:rPr>
        <w:t>Berdasarkan analisis, keputusan majelis hakim dalam kasus Irwan Setiawan menunjukkan penerapan hukum yang belum sepenuhnya mencerminkan keadilan. Meskipun sanksi sudah dijatuhkan, hakim dianggap kurang tepat dalam mengkategorikan terdakwa sebagai penyalahguna dan pecandu narkotika. Menurut Pasal 103 Undang-Undang Nomor 35 Tahun 2009 dan hukum Islam mengenai hukum takzir, pengedar narkoba seharusnya dikenakan hukuman berat, bahkan hukuman mati, sementara pengguna dapat dikenakan berbagai sanksi seperti rehabilitasi, denda, atau kerja sosial.</w:t>
      </w:r>
    </w:p>
    <w:p w14:paraId="41678EF9" w14:textId="77777777" w:rsidR="0045394B" w:rsidRPr="0045394B" w:rsidRDefault="0045394B" w:rsidP="0045394B">
      <w:pPr>
        <w:pStyle w:val="ListParagraph"/>
        <w:numPr>
          <w:ilvl w:val="1"/>
          <w:numId w:val="1"/>
        </w:numPr>
        <w:spacing w:after="0" w:line="360" w:lineRule="auto"/>
        <w:ind w:left="993" w:hanging="283"/>
        <w:jc w:val="both"/>
        <w:rPr>
          <w:rFonts w:asciiTheme="majorBidi" w:hAnsiTheme="majorBidi" w:cstheme="majorBidi"/>
          <w:bCs/>
          <w:sz w:val="24"/>
          <w:szCs w:val="24"/>
          <w:lang w:val="en-US"/>
        </w:rPr>
      </w:pPr>
      <w:r w:rsidRPr="0045394B">
        <w:rPr>
          <w:rFonts w:asciiTheme="majorBidi" w:hAnsiTheme="majorBidi" w:cstheme="majorBidi"/>
          <w:bCs/>
          <w:sz w:val="24"/>
          <w:szCs w:val="24"/>
          <w:lang w:val="en-US"/>
        </w:rPr>
        <w:t xml:space="preserve">Proses pembuktian dalam perkara Nomor 34/Pid.sus.PN.Ntn telah memenuhi syarat hukum sesuai </w:t>
      </w:r>
      <w:r w:rsidRPr="0045394B">
        <w:rPr>
          <w:rFonts w:asciiTheme="majorBidi" w:hAnsiTheme="majorBidi" w:cstheme="majorBidi"/>
          <w:bCs/>
          <w:sz w:val="24"/>
          <w:szCs w:val="24"/>
          <w:lang w:val="en-US"/>
        </w:rPr>
        <w:t>Pasal 112 ayat (1) Undang-Undang RI Nomor 35 Tahun 2009 tentang Narkotika. Alat bukti yang digunakan—keterangan saksi, surat, dan keterangan terdakwa—telah sesuai dengan Pasal 184 KUHAP dan memenuhi asas minimal pembuktian menurut Pasal 183 KUHAP. Meskipun proses pembuktian sudah tepat, disarankan agar penuntut umum mendakwa terdakwa dengan Pasal 127 ayat (1) karena terdakwa layak dikategorikan sebagai penyalahguna dan pecandu narkotika.</w:t>
      </w:r>
    </w:p>
    <w:p w14:paraId="3CE4CED5" w14:textId="77777777" w:rsidR="0045394B" w:rsidRDefault="0045394B" w:rsidP="00D71CA8">
      <w:pPr>
        <w:spacing w:after="0" w:line="360" w:lineRule="auto"/>
        <w:jc w:val="both"/>
        <w:rPr>
          <w:rFonts w:asciiTheme="majorBidi" w:hAnsiTheme="majorBidi" w:cstheme="majorBidi"/>
          <w:b/>
          <w:sz w:val="24"/>
          <w:szCs w:val="24"/>
        </w:rPr>
      </w:pPr>
    </w:p>
    <w:p w14:paraId="30DF9C31" w14:textId="77777777" w:rsidR="00D71CA8" w:rsidRDefault="00D71CA8" w:rsidP="00D71CA8">
      <w:pPr>
        <w:spacing w:after="0" w:line="360" w:lineRule="auto"/>
        <w:jc w:val="both"/>
        <w:rPr>
          <w:rFonts w:asciiTheme="majorBidi" w:hAnsiTheme="majorBidi" w:cstheme="majorBidi"/>
          <w:b/>
          <w:sz w:val="24"/>
          <w:szCs w:val="24"/>
        </w:rPr>
      </w:pPr>
      <w:r w:rsidRPr="00D71CA8">
        <w:rPr>
          <w:rFonts w:asciiTheme="majorBidi" w:hAnsiTheme="majorBidi" w:cstheme="majorBidi"/>
          <w:b/>
          <w:sz w:val="24"/>
          <w:szCs w:val="24"/>
        </w:rPr>
        <w:t>DAFTAR PUSTAKA</w:t>
      </w:r>
    </w:p>
    <w:p w14:paraId="0D77E356" w14:textId="77777777" w:rsidR="005C6806" w:rsidRPr="005C6806" w:rsidRDefault="00D71CA8" w:rsidP="007029B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heme="majorBidi" w:hAnsiTheme="majorBidi" w:cstheme="majorBidi"/>
          <w:b/>
          <w:sz w:val="24"/>
          <w:szCs w:val="24"/>
        </w:rPr>
        <w:fldChar w:fldCharType="begin" w:fldLock="1"/>
      </w:r>
      <w:r>
        <w:rPr>
          <w:rFonts w:asciiTheme="majorBidi" w:hAnsiTheme="majorBidi" w:cstheme="majorBidi"/>
          <w:b/>
          <w:sz w:val="24"/>
          <w:szCs w:val="24"/>
        </w:rPr>
        <w:instrText xml:space="preserve">ADDIN Mendeley Bibliography CSL_BIBLIOGRAPHY </w:instrText>
      </w:r>
      <w:r>
        <w:rPr>
          <w:rFonts w:asciiTheme="majorBidi" w:hAnsiTheme="majorBidi" w:cstheme="majorBidi"/>
          <w:b/>
          <w:sz w:val="24"/>
          <w:szCs w:val="24"/>
        </w:rPr>
        <w:fldChar w:fldCharType="separate"/>
      </w:r>
      <w:r w:rsidR="005C6806" w:rsidRPr="005C6806">
        <w:rPr>
          <w:rFonts w:ascii="Times New Roman" w:hAnsi="Times New Roman" w:cs="Times New Roman"/>
          <w:noProof/>
          <w:sz w:val="24"/>
          <w:szCs w:val="24"/>
        </w:rPr>
        <w:t xml:space="preserve">Andriyani, S. (2021). </w:t>
      </w:r>
      <w:r w:rsidR="005C6806" w:rsidRPr="005C6806">
        <w:rPr>
          <w:rFonts w:ascii="Times New Roman" w:hAnsi="Times New Roman" w:cs="Times New Roman"/>
          <w:i/>
          <w:iCs/>
          <w:noProof/>
          <w:sz w:val="24"/>
          <w:szCs w:val="24"/>
        </w:rPr>
        <w:t>Penggunaan Narkotika untuk Pengobatan (Studi Komparatif antara Hukum Islam dan Hukum Positif)</w:t>
      </w:r>
      <w:r w:rsidR="005C6806" w:rsidRPr="005C6806">
        <w:rPr>
          <w:rFonts w:ascii="Times New Roman" w:hAnsi="Times New Roman" w:cs="Times New Roman"/>
          <w:noProof/>
          <w:sz w:val="24"/>
          <w:szCs w:val="24"/>
        </w:rPr>
        <w:t>.</w:t>
      </w:r>
    </w:p>
    <w:p w14:paraId="4B59246C" w14:textId="77777777" w:rsidR="005C6806" w:rsidRPr="005C6806" w:rsidRDefault="005C6806" w:rsidP="007029B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5C6806">
        <w:rPr>
          <w:rFonts w:ascii="Times New Roman" w:hAnsi="Times New Roman" w:cs="Times New Roman"/>
          <w:noProof/>
          <w:sz w:val="24"/>
          <w:szCs w:val="24"/>
        </w:rPr>
        <w:t xml:space="preserve">Dahlan, D. (2017). Penerapan Pidana Terhadap Penyalah Guna Narkotika Untuk Dirinya Sendiri. </w:t>
      </w:r>
      <w:r w:rsidRPr="005C6806">
        <w:rPr>
          <w:rFonts w:ascii="Times New Roman" w:hAnsi="Times New Roman" w:cs="Times New Roman"/>
          <w:i/>
          <w:iCs/>
          <w:noProof/>
          <w:sz w:val="24"/>
          <w:szCs w:val="24"/>
        </w:rPr>
        <w:t>Jurnal Pembaharuan Hukum</w:t>
      </w:r>
      <w:r w:rsidRPr="005C6806">
        <w:rPr>
          <w:rFonts w:ascii="Times New Roman" w:hAnsi="Times New Roman" w:cs="Times New Roman"/>
          <w:noProof/>
          <w:sz w:val="24"/>
          <w:szCs w:val="24"/>
        </w:rPr>
        <w:t xml:space="preserve">, </w:t>
      </w:r>
      <w:r w:rsidRPr="005C6806">
        <w:rPr>
          <w:rFonts w:ascii="Times New Roman" w:hAnsi="Times New Roman" w:cs="Times New Roman"/>
          <w:i/>
          <w:iCs/>
          <w:noProof/>
          <w:sz w:val="24"/>
          <w:szCs w:val="24"/>
        </w:rPr>
        <w:t>4</w:t>
      </w:r>
      <w:r w:rsidRPr="005C6806">
        <w:rPr>
          <w:rFonts w:ascii="Times New Roman" w:hAnsi="Times New Roman" w:cs="Times New Roman"/>
          <w:noProof/>
          <w:sz w:val="24"/>
          <w:szCs w:val="24"/>
        </w:rPr>
        <w:t>(1), 15. https://doi.org/10.26532/jph.v4i1.1641</w:t>
      </w:r>
    </w:p>
    <w:p w14:paraId="35D71655" w14:textId="77777777" w:rsidR="005C6806" w:rsidRPr="005C6806" w:rsidRDefault="005C6806" w:rsidP="007029B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5C6806">
        <w:rPr>
          <w:rFonts w:ascii="Times New Roman" w:hAnsi="Times New Roman" w:cs="Times New Roman"/>
          <w:noProof/>
          <w:sz w:val="24"/>
          <w:szCs w:val="24"/>
        </w:rPr>
        <w:t xml:space="preserve">Fadlian, A. (2020). Pertanggungjawaban Pidana Dalam Suatu Kerangka Teoritis. </w:t>
      </w:r>
      <w:r w:rsidRPr="005C6806">
        <w:rPr>
          <w:rFonts w:ascii="Times New Roman" w:hAnsi="Times New Roman" w:cs="Times New Roman"/>
          <w:i/>
          <w:iCs/>
          <w:noProof/>
          <w:sz w:val="24"/>
          <w:szCs w:val="24"/>
        </w:rPr>
        <w:t>Jurnal Hukum Positum</w:t>
      </w:r>
      <w:r w:rsidRPr="005C6806">
        <w:rPr>
          <w:rFonts w:ascii="Times New Roman" w:hAnsi="Times New Roman" w:cs="Times New Roman"/>
          <w:noProof/>
          <w:sz w:val="24"/>
          <w:szCs w:val="24"/>
        </w:rPr>
        <w:t xml:space="preserve">, </w:t>
      </w:r>
      <w:r w:rsidRPr="005C6806">
        <w:rPr>
          <w:rFonts w:ascii="Times New Roman" w:hAnsi="Times New Roman" w:cs="Times New Roman"/>
          <w:i/>
          <w:iCs/>
          <w:noProof/>
          <w:sz w:val="24"/>
          <w:szCs w:val="24"/>
        </w:rPr>
        <w:t>5</w:t>
      </w:r>
      <w:r w:rsidRPr="005C6806">
        <w:rPr>
          <w:rFonts w:ascii="Times New Roman" w:hAnsi="Times New Roman" w:cs="Times New Roman"/>
          <w:noProof/>
          <w:sz w:val="24"/>
          <w:szCs w:val="24"/>
        </w:rPr>
        <w:t>(2), 10–19.</w:t>
      </w:r>
    </w:p>
    <w:p w14:paraId="17807F37" w14:textId="77777777" w:rsidR="005C6806" w:rsidRPr="005C6806" w:rsidRDefault="005C6806" w:rsidP="007029B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5C6806">
        <w:rPr>
          <w:rFonts w:ascii="Times New Roman" w:hAnsi="Times New Roman" w:cs="Times New Roman"/>
          <w:noProof/>
          <w:sz w:val="24"/>
          <w:szCs w:val="24"/>
        </w:rPr>
        <w:t xml:space="preserve">Farihi, H. (2018). Zina, Qadzaf, dan Minuman Keras Dalam Perspektif </w:t>
      </w:r>
      <w:r w:rsidRPr="005C6806">
        <w:rPr>
          <w:rFonts w:ascii="Times New Roman" w:hAnsi="Times New Roman" w:cs="Times New Roman"/>
          <w:noProof/>
          <w:sz w:val="24"/>
          <w:szCs w:val="24"/>
        </w:rPr>
        <w:lastRenderedPageBreak/>
        <w:t xml:space="preserve">Hukum Pidana Islam. </w:t>
      </w:r>
      <w:r w:rsidRPr="005C6806">
        <w:rPr>
          <w:rFonts w:ascii="Times New Roman" w:hAnsi="Times New Roman" w:cs="Times New Roman"/>
          <w:i/>
          <w:iCs/>
          <w:noProof/>
          <w:sz w:val="24"/>
          <w:szCs w:val="24"/>
        </w:rPr>
        <w:t>Mizan: Journal of Islamic Law</w:t>
      </w:r>
      <w:r w:rsidRPr="005C6806">
        <w:rPr>
          <w:rFonts w:ascii="Times New Roman" w:hAnsi="Times New Roman" w:cs="Times New Roman"/>
          <w:noProof/>
          <w:sz w:val="24"/>
          <w:szCs w:val="24"/>
        </w:rPr>
        <w:t xml:space="preserve">, </w:t>
      </w:r>
      <w:r w:rsidRPr="005C6806">
        <w:rPr>
          <w:rFonts w:ascii="Times New Roman" w:hAnsi="Times New Roman" w:cs="Times New Roman"/>
          <w:i/>
          <w:iCs/>
          <w:noProof/>
          <w:sz w:val="24"/>
          <w:szCs w:val="24"/>
        </w:rPr>
        <w:t>2</w:t>
      </w:r>
      <w:r w:rsidRPr="005C6806">
        <w:rPr>
          <w:rFonts w:ascii="Times New Roman" w:hAnsi="Times New Roman" w:cs="Times New Roman"/>
          <w:noProof/>
          <w:sz w:val="24"/>
          <w:szCs w:val="24"/>
        </w:rPr>
        <w:t>(1), 83–96. https://doi.org/10.32507/mizan.v2i1.1</w:t>
      </w:r>
      <w:r w:rsidRPr="005C6806">
        <w:rPr>
          <w:rFonts w:ascii="Times New Roman" w:hAnsi="Times New Roman" w:cs="Times New Roman"/>
          <w:noProof/>
          <w:sz w:val="24"/>
          <w:szCs w:val="24"/>
        </w:rPr>
        <w:t>35</w:t>
      </w:r>
    </w:p>
    <w:p w14:paraId="28BD19E4" w14:textId="77777777" w:rsidR="007029B7" w:rsidRDefault="005C6806" w:rsidP="007029B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sectPr w:rsidR="007029B7" w:rsidSect="001A6D42">
          <w:footerReference w:type="default" r:id="rId21"/>
          <w:type w:val="continuous"/>
          <w:pgSz w:w="11906" w:h="16838"/>
          <w:pgMar w:top="1418" w:right="1418" w:bottom="1418" w:left="1418" w:header="709" w:footer="709" w:gutter="0"/>
          <w:pgNumType w:start="77"/>
          <w:cols w:num="2" w:space="708"/>
          <w:docGrid w:linePitch="360"/>
        </w:sectPr>
      </w:pPr>
      <w:r w:rsidRPr="005C6806">
        <w:rPr>
          <w:rFonts w:ascii="Times New Roman" w:hAnsi="Times New Roman" w:cs="Times New Roman"/>
          <w:noProof/>
          <w:sz w:val="24"/>
          <w:szCs w:val="24"/>
        </w:rPr>
        <w:t xml:space="preserve">Jailani Tanjung, A. K., Purwadi, H., &amp; Hartiwiningsih, ,. (2019). Paradigma </w:t>
      </w:r>
    </w:p>
    <w:p w14:paraId="379D2DA2" w14:textId="77777777" w:rsidR="005C6806" w:rsidRPr="005C6806" w:rsidRDefault="005C6806" w:rsidP="007029B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5C6806">
        <w:rPr>
          <w:rFonts w:ascii="Times New Roman" w:hAnsi="Times New Roman" w:cs="Times New Roman"/>
          <w:noProof/>
          <w:sz w:val="24"/>
          <w:szCs w:val="24"/>
        </w:rPr>
        <w:t xml:space="preserve">Hakim Dalam Memutuskan Perkara Pidana Di Indonesia. </w:t>
      </w:r>
      <w:r w:rsidRPr="005C6806">
        <w:rPr>
          <w:rFonts w:ascii="Times New Roman" w:hAnsi="Times New Roman" w:cs="Times New Roman"/>
          <w:i/>
          <w:iCs/>
          <w:noProof/>
          <w:sz w:val="24"/>
          <w:szCs w:val="24"/>
        </w:rPr>
        <w:t>Jurnal Hukum Dan Pembangunan Ekonomi</w:t>
      </w:r>
      <w:r w:rsidRPr="005C6806">
        <w:rPr>
          <w:rFonts w:ascii="Times New Roman" w:hAnsi="Times New Roman" w:cs="Times New Roman"/>
          <w:noProof/>
          <w:sz w:val="24"/>
          <w:szCs w:val="24"/>
        </w:rPr>
        <w:t xml:space="preserve">, </w:t>
      </w:r>
      <w:r w:rsidRPr="005C6806">
        <w:rPr>
          <w:rFonts w:ascii="Times New Roman" w:hAnsi="Times New Roman" w:cs="Times New Roman"/>
          <w:i/>
          <w:iCs/>
          <w:noProof/>
          <w:sz w:val="24"/>
          <w:szCs w:val="24"/>
        </w:rPr>
        <w:t>7</w:t>
      </w:r>
      <w:r w:rsidRPr="005C6806">
        <w:rPr>
          <w:rFonts w:ascii="Times New Roman" w:hAnsi="Times New Roman" w:cs="Times New Roman"/>
          <w:noProof/>
          <w:sz w:val="24"/>
          <w:szCs w:val="24"/>
        </w:rPr>
        <w:t>(1), 39. https://doi.org/10.20961/hpe.v7i1.29178</w:t>
      </w:r>
    </w:p>
    <w:p w14:paraId="23EC72B9" w14:textId="77777777" w:rsidR="005C6806" w:rsidRPr="005C6806" w:rsidRDefault="005C6806" w:rsidP="007029B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5C6806">
        <w:rPr>
          <w:rFonts w:ascii="Times New Roman" w:hAnsi="Times New Roman" w:cs="Times New Roman"/>
          <w:noProof/>
          <w:sz w:val="24"/>
          <w:szCs w:val="24"/>
        </w:rPr>
        <w:t xml:space="preserve">Khairani, M., &amp; Susanto, S. (2019). Implementasi Hudud Dalam Pandangan Ulama Fiqih; Studi Kritis tehadap Kitab Fiqih ‘Ala Mazahib al Arba’ah. </w:t>
      </w:r>
      <w:r w:rsidRPr="005C6806">
        <w:rPr>
          <w:rFonts w:ascii="Times New Roman" w:hAnsi="Times New Roman" w:cs="Times New Roman"/>
          <w:i/>
          <w:iCs/>
          <w:noProof/>
          <w:sz w:val="24"/>
          <w:szCs w:val="24"/>
        </w:rPr>
        <w:t>Al Qalam: Jurnal Ilmiah Keagamaan Dan Kemasyarakatan</w:t>
      </w:r>
      <w:r w:rsidRPr="005C6806">
        <w:rPr>
          <w:rFonts w:ascii="Times New Roman" w:hAnsi="Times New Roman" w:cs="Times New Roman"/>
          <w:noProof/>
          <w:sz w:val="24"/>
          <w:szCs w:val="24"/>
        </w:rPr>
        <w:t xml:space="preserve">, </w:t>
      </w:r>
      <w:r w:rsidRPr="005C6806">
        <w:rPr>
          <w:rFonts w:ascii="Times New Roman" w:hAnsi="Times New Roman" w:cs="Times New Roman"/>
          <w:i/>
          <w:iCs/>
          <w:noProof/>
          <w:sz w:val="24"/>
          <w:szCs w:val="24"/>
        </w:rPr>
        <w:t>3</w:t>
      </w:r>
      <w:r w:rsidRPr="005C6806">
        <w:rPr>
          <w:rFonts w:ascii="Times New Roman" w:hAnsi="Times New Roman" w:cs="Times New Roman"/>
          <w:noProof/>
          <w:sz w:val="24"/>
          <w:szCs w:val="24"/>
        </w:rPr>
        <w:t>(2), 163. https://doi.org/10.35931/aq.v3i2.152</w:t>
      </w:r>
    </w:p>
    <w:p w14:paraId="40F9F900" w14:textId="77777777" w:rsidR="005C6806" w:rsidRPr="005C6806" w:rsidRDefault="005C6806" w:rsidP="007029B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5C6806">
        <w:rPr>
          <w:rFonts w:ascii="Times New Roman" w:hAnsi="Times New Roman" w:cs="Times New Roman"/>
          <w:noProof/>
          <w:sz w:val="24"/>
          <w:szCs w:val="24"/>
        </w:rPr>
        <w:t xml:space="preserve">Kuntariningsih, A., &amp; Mariyono, J. (2014). Adopsi Teknologi Pertanian Untuk Pembangunan Pedesaan: Sebuah Kajian Sosiologis. </w:t>
      </w:r>
      <w:r w:rsidRPr="005C6806">
        <w:rPr>
          <w:rFonts w:ascii="Times New Roman" w:hAnsi="Times New Roman" w:cs="Times New Roman"/>
          <w:i/>
          <w:iCs/>
          <w:noProof/>
          <w:sz w:val="24"/>
          <w:szCs w:val="24"/>
        </w:rPr>
        <w:t>Agriekonomika</w:t>
      </w:r>
      <w:r w:rsidRPr="005C6806">
        <w:rPr>
          <w:rFonts w:ascii="Times New Roman" w:hAnsi="Times New Roman" w:cs="Times New Roman"/>
          <w:noProof/>
          <w:sz w:val="24"/>
          <w:szCs w:val="24"/>
        </w:rPr>
        <w:t xml:space="preserve">, </w:t>
      </w:r>
      <w:r w:rsidRPr="005C6806">
        <w:rPr>
          <w:rFonts w:ascii="Times New Roman" w:hAnsi="Times New Roman" w:cs="Times New Roman"/>
          <w:i/>
          <w:iCs/>
          <w:noProof/>
          <w:sz w:val="24"/>
          <w:szCs w:val="24"/>
        </w:rPr>
        <w:t>3</w:t>
      </w:r>
      <w:r w:rsidRPr="005C6806">
        <w:rPr>
          <w:rFonts w:ascii="Times New Roman" w:hAnsi="Times New Roman" w:cs="Times New Roman"/>
          <w:noProof/>
          <w:sz w:val="24"/>
          <w:szCs w:val="24"/>
        </w:rPr>
        <w:t>(2), 180–191.</w:t>
      </w:r>
    </w:p>
    <w:p w14:paraId="50D24E04" w14:textId="77777777" w:rsidR="005C6806" w:rsidRPr="005C6806" w:rsidRDefault="005C6806" w:rsidP="007029B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5C6806">
        <w:rPr>
          <w:rFonts w:ascii="Times New Roman" w:hAnsi="Times New Roman" w:cs="Times New Roman"/>
          <w:noProof/>
          <w:sz w:val="24"/>
          <w:szCs w:val="24"/>
        </w:rPr>
        <w:t xml:space="preserve">Prantoko, W. A. (2024). </w:t>
      </w:r>
      <w:r w:rsidRPr="005C6806">
        <w:rPr>
          <w:rFonts w:ascii="Times New Roman" w:hAnsi="Times New Roman" w:cs="Times New Roman"/>
          <w:i/>
          <w:iCs/>
          <w:noProof/>
          <w:sz w:val="24"/>
          <w:szCs w:val="24"/>
        </w:rPr>
        <w:t>Studi Komperatif Tindak npidana Narkotika Menurut Undang-Undang No 35 tahun 2009 Tentang Narjotika Hukum Islam</w:t>
      </w:r>
      <w:r w:rsidRPr="005C6806">
        <w:rPr>
          <w:rFonts w:ascii="Times New Roman" w:hAnsi="Times New Roman" w:cs="Times New Roman"/>
          <w:noProof/>
          <w:sz w:val="24"/>
          <w:szCs w:val="24"/>
        </w:rPr>
        <w:t xml:space="preserve"> (Vol. 3, Issue 2).</w:t>
      </w:r>
    </w:p>
    <w:p w14:paraId="2F07C134" w14:textId="77777777" w:rsidR="005C6806" w:rsidRPr="005C6806" w:rsidRDefault="005C6806" w:rsidP="007029B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5C6806">
        <w:rPr>
          <w:rFonts w:ascii="Times New Roman" w:hAnsi="Times New Roman" w:cs="Times New Roman"/>
          <w:noProof/>
          <w:sz w:val="24"/>
          <w:szCs w:val="24"/>
        </w:rPr>
        <w:t xml:space="preserve">Rofiq, A., Pujiyono, P., &amp; Arief, B. N. (2021). Eksistensi Tindak Pidana Ta’zir dalam Kehidupan Masyarakat Indonesia. </w:t>
      </w:r>
      <w:r w:rsidRPr="005C6806">
        <w:rPr>
          <w:rFonts w:ascii="Times New Roman" w:hAnsi="Times New Roman" w:cs="Times New Roman"/>
          <w:i/>
          <w:iCs/>
          <w:noProof/>
          <w:sz w:val="24"/>
          <w:szCs w:val="24"/>
        </w:rPr>
        <w:t>Journal of Judicial Review</w:t>
      </w:r>
      <w:r w:rsidRPr="005C6806">
        <w:rPr>
          <w:rFonts w:ascii="Times New Roman" w:hAnsi="Times New Roman" w:cs="Times New Roman"/>
          <w:noProof/>
          <w:sz w:val="24"/>
          <w:szCs w:val="24"/>
        </w:rPr>
        <w:t xml:space="preserve">, </w:t>
      </w:r>
      <w:r w:rsidRPr="005C6806">
        <w:rPr>
          <w:rFonts w:ascii="Times New Roman" w:hAnsi="Times New Roman" w:cs="Times New Roman"/>
          <w:i/>
          <w:iCs/>
          <w:noProof/>
          <w:sz w:val="24"/>
          <w:szCs w:val="24"/>
        </w:rPr>
        <w:t>23</w:t>
      </w:r>
      <w:r w:rsidRPr="005C6806">
        <w:rPr>
          <w:rFonts w:ascii="Times New Roman" w:hAnsi="Times New Roman" w:cs="Times New Roman"/>
          <w:noProof/>
          <w:sz w:val="24"/>
          <w:szCs w:val="24"/>
        </w:rPr>
        <w:t>(2), 241. https://doi.org/10.37253/jjr.v23i2.4957</w:t>
      </w:r>
    </w:p>
    <w:p w14:paraId="578BA1E2" w14:textId="77777777" w:rsidR="005C6806" w:rsidRPr="005C6806" w:rsidRDefault="005C6806" w:rsidP="007029B7">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5C6806">
        <w:rPr>
          <w:rFonts w:ascii="Times New Roman" w:hAnsi="Times New Roman" w:cs="Times New Roman"/>
          <w:noProof/>
          <w:sz w:val="24"/>
          <w:szCs w:val="24"/>
        </w:rPr>
        <w:t xml:space="preserve">Sudargo. (2018). </w:t>
      </w:r>
      <w:r w:rsidRPr="005C6806">
        <w:rPr>
          <w:rFonts w:ascii="Times New Roman" w:hAnsi="Times New Roman" w:cs="Times New Roman"/>
          <w:i/>
          <w:iCs/>
          <w:noProof/>
          <w:sz w:val="24"/>
          <w:szCs w:val="24"/>
        </w:rPr>
        <w:t>Penyalahgunaan Narkoba Menurut Hukum Positip Dan Hukum Islam</w:t>
      </w:r>
      <w:r w:rsidRPr="005C6806">
        <w:rPr>
          <w:rFonts w:ascii="Times New Roman" w:hAnsi="Times New Roman" w:cs="Times New Roman"/>
          <w:noProof/>
          <w:sz w:val="24"/>
          <w:szCs w:val="24"/>
        </w:rPr>
        <w:t>. 1–16.</w:t>
      </w:r>
    </w:p>
    <w:p w14:paraId="22CE4B92" w14:textId="77777777" w:rsidR="00D71CA8" w:rsidRPr="00D71CA8" w:rsidRDefault="00D71CA8" w:rsidP="007029B7">
      <w:pPr>
        <w:spacing w:after="0" w:line="360" w:lineRule="auto"/>
        <w:jc w:val="both"/>
        <w:rPr>
          <w:rFonts w:asciiTheme="majorBidi" w:hAnsiTheme="majorBidi" w:cstheme="majorBidi"/>
          <w:b/>
          <w:sz w:val="24"/>
          <w:szCs w:val="24"/>
        </w:rPr>
      </w:pPr>
      <w:r>
        <w:rPr>
          <w:rFonts w:asciiTheme="majorBidi" w:hAnsiTheme="majorBidi" w:cstheme="majorBidi"/>
          <w:b/>
          <w:sz w:val="24"/>
          <w:szCs w:val="24"/>
        </w:rPr>
        <w:fldChar w:fldCharType="end"/>
      </w:r>
    </w:p>
    <w:sectPr w:rsidR="00D71CA8" w:rsidRPr="00D71CA8" w:rsidSect="001A6D42">
      <w:footerReference w:type="default" r:id="rId22"/>
      <w:type w:val="continuous"/>
      <w:pgSz w:w="11906" w:h="16838"/>
      <w:pgMar w:top="1418" w:right="1418" w:bottom="1418" w:left="1418" w:header="709" w:footer="709" w:gutter="0"/>
      <w:pgNumType w:start="77"/>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A85BA" w14:textId="77777777" w:rsidR="00A717E4" w:rsidRDefault="00A717E4">
      <w:pPr>
        <w:spacing w:line="240" w:lineRule="auto"/>
      </w:pPr>
      <w:r>
        <w:separator/>
      </w:r>
    </w:p>
  </w:endnote>
  <w:endnote w:type="continuationSeparator" w:id="0">
    <w:p w14:paraId="5903B8AA" w14:textId="77777777" w:rsidR="00A717E4" w:rsidRDefault="00A717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93529" w14:textId="77777777" w:rsidR="007029B7" w:rsidRDefault="007029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86725"/>
      <w:docPartObj>
        <w:docPartGallery w:val="Page Numbers (Bottom of Page)"/>
        <w:docPartUnique/>
      </w:docPartObj>
    </w:sdtPr>
    <w:sdtEndPr>
      <w:rPr>
        <w:rFonts w:ascii="Times New Roman" w:hAnsi="Times New Roman" w:cs="Times New Roman"/>
        <w:noProof/>
        <w:sz w:val="24"/>
        <w:szCs w:val="24"/>
      </w:rPr>
    </w:sdtEndPr>
    <w:sdtContent>
      <w:p w14:paraId="10F499F3" w14:textId="161A090A" w:rsidR="001A6D42" w:rsidRPr="001A6D42" w:rsidRDefault="001A6D42">
        <w:pPr>
          <w:pStyle w:val="Footer"/>
          <w:jc w:val="right"/>
          <w:rPr>
            <w:rFonts w:ascii="Times New Roman" w:hAnsi="Times New Roman" w:cs="Times New Roman"/>
            <w:sz w:val="24"/>
            <w:szCs w:val="24"/>
          </w:rPr>
        </w:pPr>
        <w:r w:rsidRPr="001A6D42">
          <w:rPr>
            <w:rFonts w:ascii="Times New Roman" w:hAnsi="Times New Roman" w:cs="Times New Roman"/>
            <w:sz w:val="24"/>
            <w:szCs w:val="24"/>
          </w:rPr>
          <w:fldChar w:fldCharType="begin"/>
        </w:r>
        <w:r w:rsidRPr="001A6D42">
          <w:rPr>
            <w:rFonts w:ascii="Times New Roman" w:hAnsi="Times New Roman" w:cs="Times New Roman"/>
            <w:sz w:val="24"/>
            <w:szCs w:val="24"/>
          </w:rPr>
          <w:instrText xml:space="preserve"> PAGE   \* MERGEFORMAT </w:instrText>
        </w:r>
        <w:r w:rsidRPr="001A6D42">
          <w:rPr>
            <w:rFonts w:ascii="Times New Roman" w:hAnsi="Times New Roman" w:cs="Times New Roman"/>
            <w:sz w:val="24"/>
            <w:szCs w:val="24"/>
          </w:rPr>
          <w:fldChar w:fldCharType="separate"/>
        </w:r>
        <w:r w:rsidRPr="001A6D42">
          <w:rPr>
            <w:rFonts w:ascii="Times New Roman" w:hAnsi="Times New Roman" w:cs="Times New Roman"/>
            <w:noProof/>
            <w:sz w:val="24"/>
            <w:szCs w:val="24"/>
          </w:rPr>
          <w:t>2</w:t>
        </w:r>
        <w:r w:rsidRPr="001A6D42">
          <w:rPr>
            <w:rFonts w:ascii="Times New Roman" w:hAnsi="Times New Roman" w:cs="Times New Roman"/>
            <w:noProof/>
            <w:sz w:val="24"/>
            <w:szCs w:val="24"/>
          </w:rPr>
          <w:fldChar w:fldCharType="end"/>
        </w:r>
      </w:p>
    </w:sdtContent>
  </w:sdt>
  <w:p w14:paraId="405AFF56" w14:textId="77777777" w:rsidR="004F5FB7" w:rsidRDefault="004F5FB7">
    <w:pPr>
      <w:pStyle w:val="Footer"/>
      <w:rPr>
        <w:rFonts w:asciiTheme="majorBidi" w:hAnsiTheme="majorBidi" w:cstheme="majorBidi"/>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A33AC" w14:textId="77777777" w:rsidR="007029B7" w:rsidRDefault="007029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2EE10" w14:textId="32EA6067" w:rsidR="004F5FB7" w:rsidRDefault="001A6D42">
    <w:pPr>
      <w:pStyle w:val="Footer"/>
      <w:jc w:val="right"/>
      <w:rPr>
        <w:rFonts w:asciiTheme="majorBidi" w:hAnsiTheme="majorBidi" w:cstheme="majorBidi"/>
        <w:sz w:val="24"/>
        <w:szCs w:val="24"/>
      </w:rPr>
    </w:pPr>
    <w:r>
      <w:rPr>
        <w:rFonts w:asciiTheme="majorBidi" w:hAnsiTheme="majorBidi" w:cstheme="majorBidi"/>
        <w:sz w:val="24"/>
        <w:szCs w:val="24"/>
      </w:rPr>
      <w:t>183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F06B" w14:textId="60B369B1" w:rsidR="001A6D42" w:rsidRDefault="001A6D42">
    <w:pPr>
      <w:pStyle w:val="Footer"/>
      <w:jc w:val="right"/>
      <w:rPr>
        <w:rFonts w:asciiTheme="majorBidi" w:hAnsiTheme="majorBidi" w:cstheme="majorBidi"/>
        <w:sz w:val="24"/>
        <w:szCs w:val="24"/>
      </w:rPr>
    </w:pPr>
    <w:r>
      <w:rPr>
        <w:rFonts w:asciiTheme="majorBidi" w:hAnsiTheme="majorBidi" w:cstheme="majorBidi"/>
        <w:sz w:val="24"/>
        <w:szCs w:val="24"/>
      </w:rPr>
      <w:t>184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3FAE" w14:textId="4D25745B" w:rsidR="001A6D42" w:rsidRDefault="001A6D42">
    <w:pPr>
      <w:pStyle w:val="Footer"/>
      <w:jc w:val="right"/>
      <w:rPr>
        <w:rFonts w:asciiTheme="majorBidi" w:hAnsiTheme="majorBidi" w:cstheme="majorBidi"/>
        <w:sz w:val="24"/>
        <w:szCs w:val="24"/>
      </w:rPr>
    </w:pPr>
    <w:r>
      <w:rPr>
        <w:rFonts w:asciiTheme="majorBidi" w:hAnsiTheme="majorBidi" w:cstheme="majorBidi"/>
        <w:sz w:val="24"/>
        <w:szCs w:val="24"/>
      </w:rPr>
      <w:t>185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CDB4" w14:textId="76F2C496" w:rsidR="001A6D42" w:rsidRDefault="001A6D42">
    <w:pPr>
      <w:pStyle w:val="Footer"/>
      <w:jc w:val="right"/>
      <w:rPr>
        <w:rFonts w:asciiTheme="majorBidi" w:hAnsiTheme="majorBidi" w:cstheme="majorBidi"/>
        <w:sz w:val="24"/>
        <w:szCs w:val="24"/>
      </w:rPr>
    </w:pPr>
    <w:r>
      <w:rPr>
        <w:rFonts w:asciiTheme="majorBidi" w:hAnsiTheme="majorBidi" w:cstheme="majorBidi"/>
        <w:sz w:val="24"/>
        <w:szCs w:val="24"/>
      </w:rPr>
      <w:t>186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3C0B" w14:textId="17A97750" w:rsidR="001A6D42" w:rsidRDefault="001A6D42">
    <w:pPr>
      <w:pStyle w:val="Footer"/>
      <w:jc w:val="right"/>
      <w:rPr>
        <w:rFonts w:asciiTheme="majorBidi" w:hAnsiTheme="majorBidi" w:cstheme="majorBidi"/>
        <w:sz w:val="24"/>
        <w:szCs w:val="24"/>
      </w:rPr>
    </w:pPr>
    <w:r>
      <w:rPr>
        <w:rFonts w:asciiTheme="majorBidi" w:hAnsiTheme="majorBidi" w:cstheme="majorBidi"/>
        <w:sz w:val="24"/>
        <w:szCs w:val="24"/>
      </w:rPr>
      <w:t>187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D0B61" w14:textId="622A10B3" w:rsidR="001A6D42" w:rsidRDefault="001A6D42">
    <w:pPr>
      <w:pStyle w:val="Footer"/>
      <w:jc w:val="right"/>
      <w:rPr>
        <w:rFonts w:asciiTheme="majorBidi" w:hAnsiTheme="majorBidi" w:cstheme="majorBidi"/>
        <w:sz w:val="24"/>
        <w:szCs w:val="24"/>
      </w:rPr>
    </w:pPr>
    <w:r>
      <w:rPr>
        <w:rFonts w:asciiTheme="majorBidi" w:hAnsiTheme="majorBidi" w:cstheme="majorBidi"/>
        <w:sz w:val="24"/>
        <w:szCs w:val="24"/>
      </w:rPr>
      <w:t>188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B6C68" w14:textId="6C12CFDC" w:rsidR="007029B7" w:rsidRDefault="007029B7">
    <w:pPr>
      <w:pStyle w:val="Footer"/>
      <w:jc w:val="right"/>
      <w:rPr>
        <w:rFonts w:asciiTheme="majorBidi" w:hAnsiTheme="majorBidi" w:cstheme="majorBidi"/>
        <w:sz w:val="24"/>
        <w:szCs w:val="24"/>
      </w:rPr>
    </w:pPr>
    <w:r>
      <w:rPr>
        <w:rFonts w:asciiTheme="majorBidi" w:hAnsiTheme="majorBidi" w:cstheme="majorBidi"/>
        <w:sz w:val="24"/>
        <w:szCs w:val="24"/>
      </w:rPr>
      <w:t>189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7BF57" w14:textId="0BC9AFB6" w:rsidR="007029B7" w:rsidRDefault="007029B7">
    <w:pPr>
      <w:pStyle w:val="Footer"/>
      <w:jc w:val="right"/>
      <w:rPr>
        <w:rFonts w:asciiTheme="majorBidi" w:hAnsiTheme="majorBidi" w:cstheme="majorBidi"/>
        <w:sz w:val="24"/>
        <w:szCs w:val="24"/>
      </w:rPr>
    </w:pPr>
    <w:r>
      <w:rPr>
        <w:rFonts w:asciiTheme="majorBidi" w:hAnsiTheme="majorBidi" w:cstheme="majorBidi"/>
        <w:sz w:val="24"/>
        <w:szCs w:val="24"/>
      </w:rPr>
      <w:t>190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71B10" w14:textId="77777777" w:rsidR="00A717E4" w:rsidRDefault="00A717E4">
      <w:pPr>
        <w:spacing w:after="0"/>
      </w:pPr>
      <w:r>
        <w:separator/>
      </w:r>
    </w:p>
  </w:footnote>
  <w:footnote w:type="continuationSeparator" w:id="0">
    <w:p w14:paraId="5722274C" w14:textId="77777777" w:rsidR="00A717E4" w:rsidRDefault="00A717E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1C605" w14:textId="77777777" w:rsidR="007029B7" w:rsidRDefault="007029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9C04" w14:textId="77777777" w:rsidR="004F5FB7" w:rsidRDefault="00467A23">
    <w:pPr>
      <w:pStyle w:val="Header"/>
      <w:rPr>
        <w:rFonts w:asciiTheme="majorBidi" w:hAnsiTheme="majorBidi" w:cstheme="majorBidi"/>
        <w:b/>
        <w:bCs/>
        <w:sz w:val="30"/>
        <w:szCs w:val="30"/>
      </w:rPr>
    </w:pPr>
    <w:bookmarkStart w:id="0" w:name="_Hlk147168064"/>
    <w:bookmarkStart w:id="1" w:name="_Hlk147168065"/>
    <w:r>
      <w:rPr>
        <w:rFonts w:asciiTheme="majorBidi" w:hAnsiTheme="majorBidi" w:cstheme="majorBidi"/>
        <w:b/>
        <w:bCs/>
        <w:sz w:val="30"/>
        <w:szCs w:val="30"/>
      </w:rPr>
      <w:t>Jurnal Egileaner</w:t>
    </w:r>
  </w:p>
  <w:p w14:paraId="26CBED04" w14:textId="77777777" w:rsidR="004F5FB7" w:rsidRDefault="00467A23">
    <w:pPr>
      <w:pStyle w:val="Header"/>
      <w:jc w:val="right"/>
      <w:rPr>
        <w:rFonts w:asciiTheme="majorBidi" w:hAnsiTheme="majorBidi" w:cstheme="majorBidi"/>
        <w:b/>
        <w:bCs/>
        <w:color w:val="FF0000"/>
        <w:sz w:val="30"/>
        <w:szCs w:val="30"/>
      </w:rPr>
    </w:pPr>
    <w:r>
      <w:rPr>
        <w:rFonts w:asciiTheme="majorBidi" w:hAnsiTheme="majorBidi" w:cstheme="majorBidi"/>
        <w:b/>
        <w:bCs/>
        <w:noProof/>
        <w:color w:val="FF0000"/>
        <w:sz w:val="30"/>
        <w:szCs w:val="30"/>
        <w:lang w:val="en-US"/>
      </w:rPr>
      <mc:AlternateContent>
        <mc:Choice Requires="wps">
          <w:drawing>
            <wp:anchor distT="0" distB="0" distL="114300" distR="114300" simplePos="0" relativeHeight="251661312" behindDoc="0" locked="0" layoutInCell="1" allowOverlap="1" wp14:anchorId="4805F5AE" wp14:editId="27AEF552">
              <wp:simplePos x="0" y="0"/>
              <wp:positionH relativeFrom="column">
                <wp:posOffset>12700</wp:posOffset>
              </wp:positionH>
              <wp:positionV relativeFrom="paragraph">
                <wp:posOffset>120015</wp:posOffset>
              </wp:positionV>
              <wp:extent cx="570484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5704764"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99EBBF1"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pt,9.45pt" to="450.2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" strokecolor="#bc4542 [3045]"/>
          </w:pict>
        </mc:Fallback>
      </mc:AlternateContent>
    </w:r>
  </w:p>
  <w:p w14:paraId="785088B1" w14:textId="52CAE684" w:rsidR="004F5FB7" w:rsidRDefault="00467A23">
    <w:pPr>
      <w:pStyle w:val="Header"/>
      <w:jc w:val="right"/>
      <w:rPr>
        <w:rFonts w:asciiTheme="majorBidi" w:hAnsiTheme="majorBidi" w:cstheme="majorBidi"/>
        <w:b/>
        <w:bCs/>
        <w:sz w:val="24"/>
        <w:szCs w:val="24"/>
      </w:rPr>
    </w:pPr>
    <w:r>
      <w:rPr>
        <w:rFonts w:asciiTheme="majorBidi" w:hAnsiTheme="majorBidi" w:cstheme="majorBidi"/>
        <w:b/>
        <w:bCs/>
        <w:sz w:val="24"/>
        <w:szCs w:val="24"/>
      </w:rPr>
      <w:t xml:space="preserve">Vol. </w:t>
    </w:r>
    <w:r w:rsidR="001A6D42">
      <w:rPr>
        <w:rFonts w:asciiTheme="majorBidi" w:hAnsiTheme="majorBidi" w:cstheme="majorBidi"/>
        <w:b/>
        <w:bCs/>
        <w:sz w:val="24"/>
        <w:szCs w:val="24"/>
      </w:rPr>
      <w:t>3</w:t>
    </w:r>
    <w:r>
      <w:rPr>
        <w:rFonts w:asciiTheme="majorBidi" w:hAnsiTheme="majorBidi" w:cstheme="majorBidi"/>
        <w:b/>
        <w:bCs/>
        <w:sz w:val="24"/>
        <w:szCs w:val="24"/>
      </w:rPr>
      <w:t xml:space="preserve"> No. </w:t>
    </w:r>
    <w:r w:rsidR="001A6D42">
      <w:rPr>
        <w:rFonts w:asciiTheme="majorBidi" w:hAnsiTheme="majorBidi" w:cstheme="majorBidi"/>
        <w:b/>
        <w:bCs/>
        <w:sz w:val="24"/>
        <w:szCs w:val="24"/>
      </w:rPr>
      <w:t>1</w:t>
    </w:r>
    <w:r>
      <w:rPr>
        <w:rFonts w:asciiTheme="majorBidi" w:hAnsiTheme="majorBidi" w:cstheme="majorBidi"/>
        <w:b/>
        <w:bCs/>
        <w:sz w:val="24"/>
        <w:szCs w:val="24"/>
      </w:rPr>
      <w:t>, 202</w:t>
    </w:r>
    <w:r w:rsidR="001A6D42">
      <w:rPr>
        <w:rFonts w:asciiTheme="majorBidi" w:hAnsiTheme="majorBidi" w:cstheme="majorBidi"/>
        <w:b/>
        <w:bCs/>
        <w:sz w:val="24"/>
        <w:szCs w:val="24"/>
      </w:rPr>
      <w:t>5</w:t>
    </w:r>
  </w:p>
  <w:p w14:paraId="4498F120" w14:textId="77777777" w:rsidR="004F5FB7" w:rsidRDefault="00467A23">
    <w:pPr>
      <w:pStyle w:val="Header"/>
      <w:rPr>
        <w:rFonts w:asciiTheme="majorBidi" w:hAnsiTheme="majorBidi" w:cstheme="majorBidi"/>
        <w:b/>
        <w:bCs/>
        <w:sz w:val="30"/>
        <w:szCs w:val="30"/>
      </w:rPr>
    </w:pPr>
    <w:r>
      <w:rPr>
        <w:rFonts w:asciiTheme="majorBidi" w:hAnsiTheme="majorBidi" w:cstheme="majorBidi"/>
        <w:b/>
        <w:bCs/>
        <w:noProof/>
        <w:sz w:val="30"/>
        <w:szCs w:val="30"/>
        <w:lang w:val="en-US"/>
      </w:rPr>
      <mc:AlternateContent>
        <mc:Choice Requires="wps">
          <w:drawing>
            <wp:anchor distT="0" distB="0" distL="114300" distR="114300" simplePos="0" relativeHeight="251659264" behindDoc="0" locked="0" layoutInCell="1" allowOverlap="1" wp14:anchorId="7E060DD9" wp14:editId="494E2D7A">
              <wp:simplePos x="0" y="0"/>
              <wp:positionH relativeFrom="column">
                <wp:posOffset>13970</wp:posOffset>
              </wp:positionH>
              <wp:positionV relativeFrom="paragraph">
                <wp:posOffset>55245</wp:posOffset>
              </wp:positionV>
              <wp:extent cx="570484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704764"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43CD804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pt,4.35pt" to="450.3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" strokecolor="#c0504d [3205]" strokeweight="2pt">
              <v:shadow on="t" color="black" opacity="24903f" origin=",.5" offset="0,.55556mm"/>
            </v:line>
          </w:pict>
        </mc:Fallback>
      </mc:AlternateContent>
    </w:r>
    <w:bookmarkEnd w:id="0"/>
    <w:bookmarkEnd w:id="1"/>
  </w:p>
  <w:p w14:paraId="3A673829" w14:textId="77777777" w:rsidR="004F5FB7" w:rsidRDefault="004F5F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9D7E" w14:textId="77777777" w:rsidR="007029B7" w:rsidRDefault="007029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BE4"/>
    <w:multiLevelType w:val="multilevel"/>
    <w:tmpl w:val="02954BE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12B42FA1"/>
    <w:multiLevelType w:val="hybridMultilevel"/>
    <w:tmpl w:val="7D1E60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514A1"/>
    <w:multiLevelType w:val="hybridMultilevel"/>
    <w:tmpl w:val="10C0D220"/>
    <w:lvl w:ilvl="0" w:tplc="0E1A79C8">
      <w:start w:val="2"/>
      <w:numFmt w:val="decimal"/>
      <w:lvlText w:val="%1."/>
      <w:lvlJc w:val="left"/>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FD606B"/>
    <w:multiLevelType w:val="multilevel"/>
    <w:tmpl w:val="CEDE9EAA"/>
    <w:lvl w:ilvl="0">
      <w:start w:val="1"/>
      <w:numFmt w:val="upperLetter"/>
      <w:lvlText w:val="%1."/>
      <w:lvlJc w:val="left"/>
      <w:pPr>
        <w:ind w:left="720" w:hanging="360"/>
      </w:pPr>
      <w:rPr>
        <w:rFonts w:hint="default"/>
        <w:b/>
        <w:bCs/>
      </w:rPr>
    </w:lvl>
    <w:lvl w:ilvl="1">
      <w:start w:val="1"/>
      <w:numFmt w:val="decimal"/>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8B55A0F"/>
    <w:multiLevelType w:val="multilevel"/>
    <w:tmpl w:val="58B55A0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AE22F77"/>
    <w:multiLevelType w:val="hybridMultilevel"/>
    <w:tmpl w:val="2CEE2708"/>
    <w:lvl w:ilvl="0" w:tplc="0421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num w:numId="1" w16cid:durableId="2112166324">
    <w:abstractNumId w:val="3"/>
  </w:num>
  <w:num w:numId="2" w16cid:durableId="1450078160">
    <w:abstractNumId w:val="0"/>
  </w:num>
  <w:num w:numId="3" w16cid:durableId="834105786">
    <w:abstractNumId w:val="1"/>
  </w:num>
  <w:num w:numId="4" w16cid:durableId="19628042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7586763">
    <w:abstractNumId w:val="5"/>
  </w:num>
  <w:num w:numId="6" w16cid:durableId="1467507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27E6"/>
    <w:rsid w:val="000238A8"/>
    <w:rsid w:val="0004086D"/>
    <w:rsid w:val="0004108D"/>
    <w:rsid w:val="00041BFF"/>
    <w:rsid w:val="00051FC5"/>
    <w:rsid w:val="00082B87"/>
    <w:rsid w:val="00091DF3"/>
    <w:rsid w:val="000A0C50"/>
    <w:rsid w:val="000A449C"/>
    <w:rsid w:val="000C5C73"/>
    <w:rsid w:val="000E25AC"/>
    <w:rsid w:val="000F7720"/>
    <w:rsid w:val="001060DE"/>
    <w:rsid w:val="00171F04"/>
    <w:rsid w:val="00175962"/>
    <w:rsid w:val="001A01BB"/>
    <w:rsid w:val="001A6D42"/>
    <w:rsid w:val="001D4F7B"/>
    <w:rsid w:val="001E3749"/>
    <w:rsid w:val="002074A8"/>
    <w:rsid w:val="002305EF"/>
    <w:rsid w:val="00246660"/>
    <w:rsid w:val="002D4456"/>
    <w:rsid w:val="00302AB2"/>
    <w:rsid w:val="0032206F"/>
    <w:rsid w:val="00333E7C"/>
    <w:rsid w:val="003342D5"/>
    <w:rsid w:val="00354238"/>
    <w:rsid w:val="003A37ED"/>
    <w:rsid w:val="003A603F"/>
    <w:rsid w:val="003D1076"/>
    <w:rsid w:val="003D29C4"/>
    <w:rsid w:val="003D671B"/>
    <w:rsid w:val="003E5DF0"/>
    <w:rsid w:val="003F3649"/>
    <w:rsid w:val="003F6F40"/>
    <w:rsid w:val="0042408C"/>
    <w:rsid w:val="00426941"/>
    <w:rsid w:val="004315E3"/>
    <w:rsid w:val="0045394B"/>
    <w:rsid w:val="00456B95"/>
    <w:rsid w:val="00467A23"/>
    <w:rsid w:val="00477CE9"/>
    <w:rsid w:val="004A163D"/>
    <w:rsid w:val="004D2C05"/>
    <w:rsid w:val="004E1618"/>
    <w:rsid w:val="004E4043"/>
    <w:rsid w:val="004F2064"/>
    <w:rsid w:val="004F5FB7"/>
    <w:rsid w:val="00500A71"/>
    <w:rsid w:val="00510FE3"/>
    <w:rsid w:val="00511D16"/>
    <w:rsid w:val="005316F0"/>
    <w:rsid w:val="005350F9"/>
    <w:rsid w:val="0056633A"/>
    <w:rsid w:val="00591AC3"/>
    <w:rsid w:val="005A2F55"/>
    <w:rsid w:val="005A69F1"/>
    <w:rsid w:val="005B0403"/>
    <w:rsid w:val="005B3547"/>
    <w:rsid w:val="005B6058"/>
    <w:rsid w:val="005C6806"/>
    <w:rsid w:val="005D2E58"/>
    <w:rsid w:val="005D52EB"/>
    <w:rsid w:val="005E2C4D"/>
    <w:rsid w:val="005E3C22"/>
    <w:rsid w:val="006125E7"/>
    <w:rsid w:val="00613F3E"/>
    <w:rsid w:val="00622A6A"/>
    <w:rsid w:val="00632946"/>
    <w:rsid w:val="0064404C"/>
    <w:rsid w:val="006457A0"/>
    <w:rsid w:val="006550C1"/>
    <w:rsid w:val="00657FED"/>
    <w:rsid w:val="00661CCF"/>
    <w:rsid w:val="00674CFD"/>
    <w:rsid w:val="006753D8"/>
    <w:rsid w:val="00676C43"/>
    <w:rsid w:val="00686670"/>
    <w:rsid w:val="006A7DE4"/>
    <w:rsid w:val="006B4F2A"/>
    <w:rsid w:val="006E6293"/>
    <w:rsid w:val="00700DA0"/>
    <w:rsid w:val="007029B7"/>
    <w:rsid w:val="00717FEC"/>
    <w:rsid w:val="00726A09"/>
    <w:rsid w:val="007361DD"/>
    <w:rsid w:val="00774B96"/>
    <w:rsid w:val="007E1F0B"/>
    <w:rsid w:val="00802630"/>
    <w:rsid w:val="008105D9"/>
    <w:rsid w:val="00824D5D"/>
    <w:rsid w:val="0086518C"/>
    <w:rsid w:val="0086720D"/>
    <w:rsid w:val="0087033E"/>
    <w:rsid w:val="00884516"/>
    <w:rsid w:val="008B7B54"/>
    <w:rsid w:val="008D22FA"/>
    <w:rsid w:val="008E3E3F"/>
    <w:rsid w:val="009063F5"/>
    <w:rsid w:val="00907973"/>
    <w:rsid w:val="00912BDC"/>
    <w:rsid w:val="0092223E"/>
    <w:rsid w:val="00924739"/>
    <w:rsid w:val="00947CE5"/>
    <w:rsid w:val="009500F6"/>
    <w:rsid w:val="00957089"/>
    <w:rsid w:val="00972E89"/>
    <w:rsid w:val="00982582"/>
    <w:rsid w:val="00983D51"/>
    <w:rsid w:val="00984932"/>
    <w:rsid w:val="009927E6"/>
    <w:rsid w:val="00994119"/>
    <w:rsid w:val="00997FCE"/>
    <w:rsid w:val="009A11E9"/>
    <w:rsid w:val="009B052F"/>
    <w:rsid w:val="009B23CB"/>
    <w:rsid w:val="009B7E4D"/>
    <w:rsid w:val="009C6140"/>
    <w:rsid w:val="009E2132"/>
    <w:rsid w:val="009E3FB9"/>
    <w:rsid w:val="009F7F55"/>
    <w:rsid w:val="00A03F21"/>
    <w:rsid w:val="00A12CD0"/>
    <w:rsid w:val="00A173A8"/>
    <w:rsid w:val="00A717E4"/>
    <w:rsid w:val="00A73DD0"/>
    <w:rsid w:val="00A81E10"/>
    <w:rsid w:val="00A834A4"/>
    <w:rsid w:val="00A97866"/>
    <w:rsid w:val="00AA601A"/>
    <w:rsid w:val="00AA6103"/>
    <w:rsid w:val="00AB7020"/>
    <w:rsid w:val="00AC016E"/>
    <w:rsid w:val="00AC7CE9"/>
    <w:rsid w:val="00AD1F8B"/>
    <w:rsid w:val="00AE2545"/>
    <w:rsid w:val="00AE5F68"/>
    <w:rsid w:val="00B7466A"/>
    <w:rsid w:val="00B85B37"/>
    <w:rsid w:val="00B938A9"/>
    <w:rsid w:val="00BB347D"/>
    <w:rsid w:val="00BC1F7D"/>
    <w:rsid w:val="00BC786F"/>
    <w:rsid w:val="00BE4D5E"/>
    <w:rsid w:val="00C03402"/>
    <w:rsid w:val="00C27D52"/>
    <w:rsid w:val="00C42BA6"/>
    <w:rsid w:val="00C63411"/>
    <w:rsid w:val="00C642D7"/>
    <w:rsid w:val="00C67A8A"/>
    <w:rsid w:val="00C8180F"/>
    <w:rsid w:val="00CA5651"/>
    <w:rsid w:val="00CE162B"/>
    <w:rsid w:val="00D00304"/>
    <w:rsid w:val="00D06732"/>
    <w:rsid w:val="00D21529"/>
    <w:rsid w:val="00D37874"/>
    <w:rsid w:val="00D40795"/>
    <w:rsid w:val="00D62601"/>
    <w:rsid w:val="00D62BB9"/>
    <w:rsid w:val="00D70614"/>
    <w:rsid w:val="00D71CA8"/>
    <w:rsid w:val="00D774BC"/>
    <w:rsid w:val="00D96828"/>
    <w:rsid w:val="00DB107F"/>
    <w:rsid w:val="00DB18EC"/>
    <w:rsid w:val="00DB1FE0"/>
    <w:rsid w:val="00DD52B0"/>
    <w:rsid w:val="00E1247A"/>
    <w:rsid w:val="00E15FA7"/>
    <w:rsid w:val="00E51C1F"/>
    <w:rsid w:val="00E57A61"/>
    <w:rsid w:val="00E87491"/>
    <w:rsid w:val="00EA4B81"/>
    <w:rsid w:val="00EE2B58"/>
    <w:rsid w:val="00F02D86"/>
    <w:rsid w:val="00F146CC"/>
    <w:rsid w:val="00F51516"/>
    <w:rsid w:val="00F576EE"/>
    <w:rsid w:val="00F57D63"/>
    <w:rsid w:val="00F614B3"/>
    <w:rsid w:val="00F64F05"/>
    <w:rsid w:val="00FD0B72"/>
    <w:rsid w:val="00FD5986"/>
    <w:rsid w:val="00FF0ACB"/>
    <w:rsid w:val="00FF7BB2"/>
    <w:rsid w:val="254601C3"/>
    <w:rsid w:val="36FE1B9F"/>
    <w:rsid w:val="3C8E7EED"/>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B033CD8"/>
  <w15:docId w15:val="{1EF6C675-D643-4444-ADCA-18D95B44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9"/>
    <w:qFormat/>
    <w:rsid w:val="003A603F"/>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39"/>
    <w:qFormat/>
    <w:pPr>
      <w:ind w:right="856"/>
    </w:pPr>
    <w:rPr>
      <w:rFonts w:eastAsia="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lang w:val="id-ID"/>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wtze">
    <w:name w:val="hwtze"/>
    <w:basedOn w:val="DefaultParagraphFont"/>
    <w:qFormat/>
  </w:style>
  <w:style w:type="character" w:customStyle="1" w:styleId="rynqvb">
    <w:name w:val="rynqvb"/>
    <w:basedOn w:val="DefaultParagraphFont"/>
    <w:qFormat/>
  </w:style>
  <w:style w:type="paragraph" w:styleId="BodyText">
    <w:name w:val="Body Text"/>
    <w:basedOn w:val="Normal"/>
    <w:link w:val="BodyTextChar"/>
    <w:uiPriority w:val="1"/>
    <w:qFormat/>
    <w:rsid w:val="005E2C4D"/>
    <w:pPr>
      <w:widowControl w:val="0"/>
      <w:autoSpaceDE w:val="0"/>
      <w:autoSpaceDN w:val="0"/>
      <w:spacing w:after="0" w:line="240" w:lineRule="auto"/>
    </w:pPr>
    <w:rPr>
      <w:rFonts w:ascii="Times New Roman" w:eastAsia="Times New Roman" w:hAnsi="Times New Roman" w:cs="Times New Roman"/>
      <w:sz w:val="24"/>
      <w:szCs w:val="24"/>
      <w:lang w:val="en-ID"/>
    </w:rPr>
  </w:style>
  <w:style w:type="character" w:customStyle="1" w:styleId="BodyTextChar">
    <w:name w:val="Body Text Char"/>
    <w:basedOn w:val="DefaultParagraphFont"/>
    <w:link w:val="BodyText"/>
    <w:uiPriority w:val="1"/>
    <w:rsid w:val="005E2C4D"/>
    <w:rPr>
      <w:rFonts w:ascii="Times New Roman" w:eastAsia="Times New Roman" w:hAnsi="Times New Roman" w:cs="Times New Roman"/>
      <w:sz w:val="24"/>
      <w:szCs w:val="24"/>
      <w:lang w:val="en-ID"/>
    </w:rPr>
  </w:style>
  <w:style w:type="character" w:customStyle="1" w:styleId="Heading1Char">
    <w:name w:val="Heading 1 Char"/>
    <w:basedOn w:val="DefaultParagraphFont"/>
    <w:link w:val="Heading1"/>
    <w:uiPriority w:val="9"/>
    <w:rsid w:val="003A603F"/>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F5151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overflow-hidden">
    <w:name w:val="overflow-hidden"/>
    <w:basedOn w:val="DefaultParagraphFont"/>
    <w:rsid w:val="006B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3414">
      <w:bodyDiv w:val="1"/>
      <w:marLeft w:val="0"/>
      <w:marRight w:val="0"/>
      <w:marTop w:val="0"/>
      <w:marBottom w:val="0"/>
      <w:divBdr>
        <w:top w:val="none" w:sz="0" w:space="0" w:color="auto"/>
        <w:left w:val="none" w:sz="0" w:space="0" w:color="auto"/>
        <w:bottom w:val="none" w:sz="0" w:space="0" w:color="auto"/>
        <w:right w:val="none" w:sz="0" w:space="0" w:color="auto"/>
      </w:divBdr>
      <w:divsChild>
        <w:div w:id="2093577444">
          <w:marLeft w:val="0"/>
          <w:marRight w:val="0"/>
          <w:marTop w:val="0"/>
          <w:marBottom w:val="0"/>
          <w:divBdr>
            <w:top w:val="none" w:sz="0" w:space="0" w:color="auto"/>
            <w:left w:val="none" w:sz="0" w:space="0" w:color="auto"/>
            <w:bottom w:val="none" w:sz="0" w:space="0" w:color="auto"/>
            <w:right w:val="none" w:sz="0" w:space="0" w:color="auto"/>
          </w:divBdr>
          <w:divsChild>
            <w:div w:id="234823315">
              <w:marLeft w:val="0"/>
              <w:marRight w:val="0"/>
              <w:marTop w:val="0"/>
              <w:marBottom w:val="0"/>
              <w:divBdr>
                <w:top w:val="none" w:sz="0" w:space="0" w:color="auto"/>
                <w:left w:val="none" w:sz="0" w:space="0" w:color="auto"/>
                <w:bottom w:val="none" w:sz="0" w:space="0" w:color="auto"/>
                <w:right w:val="none" w:sz="0" w:space="0" w:color="auto"/>
              </w:divBdr>
              <w:divsChild>
                <w:div w:id="525218510">
                  <w:marLeft w:val="0"/>
                  <w:marRight w:val="0"/>
                  <w:marTop w:val="0"/>
                  <w:marBottom w:val="0"/>
                  <w:divBdr>
                    <w:top w:val="none" w:sz="0" w:space="0" w:color="auto"/>
                    <w:left w:val="none" w:sz="0" w:space="0" w:color="auto"/>
                    <w:bottom w:val="none" w:sz="0" w:space="0" w:color="auto"/>
                    <w:right w:val="none" w:sz="0" w:space="0" w:color="auto"/>
                  </w:divBdr>
                  <w:divsChild>
                    <w:div w:id="48112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022874">
          <w:marLeft w:val="0"/>
          <w:marRight w:val="0"/>
          <w:marTop w:val="0"/>
          <w:marBottom w:val="0"/>
          <w:divBdr>
            <w:top w:val="none" w:sz="0" w:space="0" w:color="auto"/>
            <w:left w:val="none" w:sz="0" w:space="0" w:color="auto"/>
            <w:bottom w:val="none" w:sz="0" w:space="0" w:color="auto"/>
            <w:right w:val="none" w:sz="0" w:space="0" w:color="auto"/>
          </w:divBdr>
          <w:divsChild>
            <w:div w:id="1163080940">
              <w:marLeft w:val="0"/>
              <w:marRight w:val="0"/>
              <w:marTop w:val="0"/>
              <w:marBottom w:val="0"/>
              <w:divBdr>
                <w:top w:val="none" w:sz="0" w:space="0" w:color="auto"/>
                <w:left w:val="none" w:sz="0" w:space="0" w:color="auto"/>
                <w:bottom w:val="none" w:sz="0" w:space="0" w:color="auto"/>
                <w:right w:val="none" w:sz="0" w:space="0" w:color="auto"/>
              </w:divBdr>
              <w:divsChild>
                <w:div w:id="1651131442">
                  <w:marLeft w:val="0"/>
                  <w:marRight w:val="0"/>
                  <w:marTop w:val="0"/>
                  <w:marBottom w:val="0"/>
                  <w:divBdr>
                    <w:top w:val="none" w:sz="0" w:space="0" w:color="auto"/>
                    <w:left w:val="none" w:sz="0" w:space="0" w:color="auto"/>
                    <w:bottom w:val="none" w:sz="0" w:space="0" w:color="auto"/>
                    <w:right w:val="none" w:sz="0" w:space="0" w:color="auto"/>
                  </w:divBdr>
                  <w:divsChild>
                    <w:div w:id="197220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220809">
      <w:bodyDiv w:val="1"/>
      <w:marLeft w:val="0"/>
      <w:marRight w:val="0"/>
      <w:marTop w:val="0"/>
      <w:marBottom w:val="0"/>
      <w:divBdr>
        <w:top w:val="none" w:sz="0" w:space="0" w:color="auto"/>
        <w:left w:val="none" w:sz="0" w:space="0" w:color="auto"/>
        <w:bottom w:val="none" w:sz="0" w:space="0" w:color="auto"/>
        <w:right w:val="none" w:sz="0" w:space="0" w:color="auto"/>
      </w:divBdr>
      <w:divsChild>
        <w:div w:id="902525871">
          <w:marLeft w:val="0"/>
          <w:marRight w:val="0"/>
          <w:marTop w:val="0"/>
          <w:marBottom w:val="0"/>
          <w:divBdr>
            <w:top w:val="none" w:sz="0" w:space="0" w:color="auto"/>
            <w:left w:val="none" w:sz="0" w:space="0" w:color="auto"/>
            <w:bottom w:val="none" w:sz="0" w:space="0" w:color="auto"/>
            <w:right w:val="none" w:sz="0" w:space="0" w:color="auto"/>
          </w:divBdr>
          <w:divsChild>
            <w:div w:id="519197116">
              <w:marLeft w:val="0"/>
              <w:marRight w:val="0"/>
              <w:marTop w:val="0"/>
              <w:marBottom w:val="0"/>
              <w:divBdr>
                <w:top w:val="none" w:sz="0" w:space="0" w:color="auto"/>
                <w:left w:val="none" w:sz="0" w:space="0" w:color="auto"/>
                <w:bottom w:val="none" w:sz="0" w:space="0" w:color="auto"/>
                <w:right w:val="none" w:sz="0" w:space="0" w:color="auto"/>
              </w:divBdr>
              <w:divsChild>
                <w:div w:id="828327481">
                  <w:marLeft w:val="0"/>
                  <w:marRight w:val="0"/>
                  <w:marTop w:val="0"/>
                  <w:marBottom w:val="0"/>
                  <w:divBdr>
                    <w:top w:val="none" w:sz="0" w:space="0" w:color="auto"/>
                    <w:left w:val="none" w:sz="0" w:space="0" w:color="auto"/>
                    <w:bottom w:val="none" w:sz="0" w:space="0" w:color="auto"/>
                    <w:right w:val="none" w:sz="0" w:space="0" w:color="auto"/>
                  </w:divBdr>
                  <w:divsChild>
                    <w:div w:id="198805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641174">
          <w:marLeft w:val="0"/>
          <w:marRight w:val="0"/>
          <w:marTop w:val="0"/>
          <w:marBottom w:val="0"/>
          <w:divBdr>
            <w:top w:val="none" w:sz="0" w:space="0" w:color="auto"/>
            <w:left w:val="none" w:sz="0" w:space="0" w:color="auto"/>
            <w:bottom w:val="none" w:sz="0" w:space="0" w:color="auto"/>
            <w:right w:val="none" w:sz="0" w:space="0" w:color="auto"/>
          </w:divBdr>
          <w:divsChild>
            <w:div w:id="389501423">
              <w:marLeft w:val="0"/>
              <w:marRight w:val="0"/>
              <w:marTop w:val="0"/>
              <w:marBottom w:val="0"/>
              <w:divBdr>
                <w:top w:val="none" w:sz="0" w:space="0" w:color="auto"/>
                <w:left w:val="none" w:sz="0" w:space="0" w:color="auto"/>
                <w:bottom w:val="none" w:sz="0" w:space="0" w:color="auto"/>
                <w:right w:val="none" w:sz="0" w:space="0" w:color="auto"/>
              </w:divBdr>
              <w:divsChild>
                <w:div w:id="632953335">
                  <w:marLeft w:val="0"/>
                  <w:marRight w:val="0"/>
                  <w:marTop w:val="0"/>
                  <w:marBottom w:val="0"/>
                  <w:divBdr>
                    <w:top w:val="none" w:sz="0" w:space="0" w:color="auto"/>
                    <w:left w:val="none" w:sz="0" w:space="0" w:color="auto"/>
                    <w:bottom w:val="none" w:sz="0" w:space="0" w:color="auto"/>
                    <w:right w:val="none" w:sz="0" w:space="0" w:color="auto"/>
                  </w:divBdr>
                  <w:divsChild>
                    <w:div w:id="47638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278960">
      <w:bodyDiv w:val="1"/>
      <w:marLeft w:val="0"/>
      <w:marRight w:val="0"/>
      <w:marTop w:val="0"/>
      <w:marBottom w:val="0"/>
      <w:divBdr>
        <w:top w:val="none" w:sz="0" w:space="0" w:color="auto"/>
        <w:left w:val="none" w:sz="0" w:space="0" w:color="auto"/>
        <w:bottom w:val="none" w:sz="0" w:space="0" w:color="auto"/>
        <w:right w:val="none" w:sz="0" w:space="0" w:color="auto"/>
      </w:divBdr>
      <w:divsChild>
        <w:div w:id="1276986516">
          <w:marLeft w:val="0"/>
          <w:marRight w:val="0"/>
          <w:marTop w:val="0"/>
          <w:marBottom w:val="0"/>
          <w:divBdr>
            <w:top w:val="none" w:sz="0" w:space="0" w:color="auto"/>
            <w:left w:val="none" w:sz="0" w:space="0" w:color="auto"/>
            <w:bottom w:val="none" w:sz="0" w:space="0" w:color="auto"/>
            <w:right w:val="none" w:sz="0" w:space="0" w:color="auto"/>
          </w:divBdr>
          <w:divsChild>
            <w:div w:id="1904754387">
              <w:marLeft w:val="0"/>
              <w:marRight w:val="0"/>
              <w:marTop w:val="0"/>
              <w:marBottom w:val="0"/>
              <w:divBdr>
                <w:top w:val="none" w:sz="0" w:space="0" w:color="auto"/>
                <w:left w:val="none" w:sz="0" w:space="0" w:color="auto"/>
                <w:bottom w:val="none" w:sz="0" w:space="0" w:color="auto"/>
                <w:right w:val="none" w:sz="0" w:space="0" w:color="auto"/>
              </w:divBdr>
              <w:divsChild>
                <w:div w:id="1469863178">
                  <w:marLeft w:val="0"/>
                  <w:marRight w:val="0"/>
                  <w:marTop w:val="0"/>
                  <w:marBottom w:val="0"/>
                  <w:divBdr>
                    <w:top w:val="none" w:sz="0" w:space="0" w:color="auto"/>
                    <w:left w:val="none" w:sz="0" w:space="0" w:color="auto"/>
                    <w:bottom w:val="none" w:sz="0" w:space="0" w:color="auto"/>
                    <w:right w:val="none" w:sz="0" w:space="0" w:color="auto"/>
                  </w:divBdr>
                  <w:divsChild>
                    <w:div w:id="26746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58921">
          <w:marLeft w:val="0"/>
          <w:marRight w:val="0"/>
          <w:marTop w:val="0"/>
          <w:marBottom w:val="0"/>
          <w:divBdr>
            <w:top w:val="none" w:sz="0" w:space="0" w:color="auto"/>
            <w:left w:val="none" w:sz="0" w:space="0" w:color="auto"/>
            <w:bottom w:val="none" w:sz="0" w:space="0" w:color="auto"/>
            <w:right w:val="none" w:sz="0" w:space="0" w:color="auto"/>
          </w:divBdr>
          <w:divsChild>
            <w:div w:id="851844992">
              <w:marLeft w:val="0"/>
              <w:marRight w:val="0"/>
              <w:marTop w:val="0"/>
              <w:marBottom w:val="0"/>
              <w:divBdr>
                <w:top w:val="none" w:sz="0" w:space="0" w:color="auto"/>
                <w:left w:val="none" w:sz="0" w:space="0" w:color="auto"/>
                <w:bottom w:val="none" w:sz="0" w:space="0" w:color="auto"/>
                <w:right w:val="none" w:sz="0" w:space="0" w:color="auto"/>
              </w:divBdr>
              <w:divsChild>
                <w:div w:id="542063525">
                  <w:marLeft w:val="0"/>
                  <w:marRight w:val="0"/>
                  <w:marTop w:val="0"/>
                  <w:marBottom w:val="0"/>
                  <w:divBdr>
                    <w:top w:val="none" w:sz="0" w:space="0" w:color="auto"/>
                    <w:left w:val="none" w:sz="0" w:space="0" w:color="auto"/>
                    <w:bottom w:val="none" w:sz="0" w:space="0" w:color="auto"/>
                    <w:right w:val="none" w:sz="0" w:space="0" w:color="auto"/>
                  </w:divBdr>
                  <w:divsChild>
                    <w:div w:id="192769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1690">
      <w:bodyDiv w:val="1"/>
      <w:marLeft w:val="0"/>
      <w:marRight w:val="0"/>
      <w:marTop w:val="0"/>
      <w:marBottom w:val="0"/>
      <w:divBdr>
        <w:top w:val="none" w:sz="0" w:space="0" w:color="auto"/>
        <w:left w:val="none" w:sz="0" w:space="0" w:color="auto"/>
        <w:bottom w:val="none" w:sz="0" w:space="0" w:color="auto"/>
        <w:right w:val="none" w:sz="0" w:space="0" w:color="auto"/>
      </w:divBdr>
    </w:div>
    <w:div w:id="1128550632">
      <w:bodyDiv w:val="1"/>
      <w:marLeft w:val="0"/>
      <w:marRight w:val="0"/>
      <w:marTop w:val="0"/>
      <w:marBottom w:val="0"/>
      <w:divBdr>
        <w:top w:val="none" w:sz="0" w:space="0" w:color="auto"/>
        <w:left w:val="none" w:sz="0" w:space="0" w:color="auto"/>
        <w:bottom w:val="none" w:sz="0" w:space="0" w:color="auto"/>
        <w:right w:val="none" w:sz="0" w:space="0" w:color="auto"/>
      </w:divBdr>
    </w:div>
    <w:div w:id="1693992343">
      <w:bodyDiv w:val="1"/>
      <w:marLeft w:val="0"/>
      <w:marRight w:val="0"/>
      <w:marTop w:val="0"/>
      <w:marBottom w:val="0"/>
      <w:divBdr>
        <w:top w:val="none" w:sz="0" w:space="0" w:color="auto"/>
        <w:left w:val="none" w:sz="0" w:space="0" w:color="auto"/>
        <w:bottom w:val="none" w:sz="0" w:space="0" w:color="auto"/>
        <w:right w:val="none" w:sz="0" w:space="0" w:color="auto"/>
      </w:divBdr>
      <w:divsChild>
        <w:div w:id="1872959333">
          <w:marLeft w:val="0"/>
          <w:marRight w:val="0"/>
          <w:marTop w:val="0"/>
          <w:marBottom w:val="0"/>
          <w:divBdr>
            <w:top w:val="none" w:sz="0" w:space="0" w:color="auto"/>
            <w:left w:val="none" w:sz="0" w:space="0" w:color="auto"/>
            <w:bottom w:val="none" w:sz="0" w:space="0" w:color="auto"/>
            <w:right w:val="none" w:sz="0" w:space="0" w:color="auto"/>
          </w:divBdr>
          <w:divsChild>
            <w:div w:id="301155112">
              <w:marLeft w:val="0"/>
              <w:marRight w:val="0"/>
              <w:marTop w:val="0"/>
              <w:marBottom w:val="0"/>
              <w:divBdr>
                <w:top w:val="none" w:sz="0" w:space="0" w:color="auto"/>
                <w:left w:val="none" w:sz="0" w:space="0" w:color="auto"/>
                <w:bottom w:val="none" w:sz="0" w:space="0" w:color="auto"/>
                <w:right w:val="none" w:sz="0" w:space="0" w:color="auto"/>
              </w:divBdr>
              <w:divsChild>
                <w:div w:id="1430586912">
                  <w:marLeft w:val="0"/>
                  <w:marRight w:val="0"/>
                  <w:marTop w:val="0"/>
                  <w:marBottom w:val="0"/>
                  <w:divBdr>
                    <w:top w:val="none" w:sz="0" w:space="0" w:color="auto"/>
                    <w:left w:val="none" w:sz="0" w:space="0" w:color="auto"/>
                    <w:bottom w:val="none" w:sz="0" w:space="0" w:color="auto"/>
                    <w:right w:val="none" w:sz="0" w:space="0" w:color="auto"/>
                  </w:divBdr>
                  <w:divsChild>
                    <w:div w:id="177304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07176">
          <w:marLeft w:val="0"/>
          <w:marRight w:val="0"/>
          <w:marTop w:val="0"/>
          <w:marBottom w:val="0"/>
          <w:divBdr>
            <w:top w:val="none" w:sz="0" w:space="0" w:color="auto"/>
            <w:left w:val="none" w:sz="0" w:space="0" w:color="auto"/>
            <w:bottom w:val="none" w:sz="0" w:space="0" w:color="auto"/>
            <w:right w:val="none" w:sz="0" w:space="0" w:color="auto"/>
          </w:divBdr>
          <w:divsChild>
            <w:div w:id="1873421995">
              <w:marLeft w:val="0"/>
              <w:marRight w:val="0"/>
              <w:marTop w:val="0"/>
              <w:marBottom w:val="0"/>
              <w:divBdr>
                <w:top w:val="none" w:sz="0" w:space="0" w:color="auto"/>
                <w:left w:val="none" w:sz="0" w:space="0" w:color="auto"/>
                <w:bottom w:val="none" w:sz="0" w:space="0" w:color="auto"/>
                <w:right w:val="none" w:sz="0" w:space="0" w:color="auto"/>
              </w:divBdr>
              <w:divsChild>
                <w:div w:id="1118111998">
                  <w:marLeft w:val="0"/>
                  <w:marRight w:val="0"/>
                  <w:marTop w:val="0"/>
                  <w:marBottom w:val="0"/>
                  <w:divBdr>
                    <w:top w:val="none" w:sz="0" w:space="0" w:color="auto"/>
                    <w:left w:val="none" w:sz="0" w:space="0" w:color="auto"/>
                    <w:bottom w:val="none" w:sz="0" w:space="0" w:color="auto"/>
                    <w:right w:val="none" w:sz="0" w:space="0" w:color="auto"/>
                  </w:divBdr>
                  <w:divsChild>
                    <w:div w:id="23713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b:Source>
    <b:Tag>Soe07</b:Tag>
    <b:SourceType>Book</b:SourceType>
    <b:Guid>{044C17A8-AAF4-4E09-A490-FA65EAAB1520}</b:Guid>
    <b:Author>
      <b:Author>
        <b:NameList>
          <b:Person>
            <b:Last>Soekanto</b:Last>
            <b:First>Soerjono</b:First>
          </b:Person>
        </b:NameList>
      </b:Author>
    </b:Author>
    <b:Title>Pengantar Penelitian Hukum </b:Title>
    <b:Year>2007</b:Year>
    <b:City>Jakarta</b:City>
    <b:Publisher>UI Press</b:Publisher>
    <b:RefOrder>23</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9AA287-141A-4A77-AF12-86C567EC0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5580</Words>
  <Characters>31808</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emil samara</cp:lastModifiedBy>
  <cp:revision>5</cp:revision>
  <cp:lastPrinted>2024-03-28T05:32:00Z</cp:lastPrinted>
  <dcterms:created xsi:type="dcterms:W3CDTF">2024-10-09T06:59:00Z</dcterms:created>
  <dcterms:modified xsi:type="dcterms:W3CDTF">2025-03-30T07:11:00Z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0ca06330-0cc0-3344-8a5d-427cfeccec8a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2057-12.2.0.18283</vt:lpwstr>
  </property>
  <property fmtid="{D5CDD505-2E9C-101B-9397-08002B2CF9AE}" pid="26" name="ICV">
    <vt:lpwstr>41846A423BF54DCDB348F2F36E352E9C_12</vt:lpwstr>
  </property>
</Properties>
</file>